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B83C2" w14:textId="28D53241" w:rsidR="00323BC9" w:rsidRPr="00E60569" w:rsidRDefault="00B5506A" w:rsidP="004657D5">
      <w:pPr>
        <w:pStyle w:val="Heading1"/>
      </w:pPr>
      <w:r>
        <w:t>Applied Change Files</w:t>
      </w:r>
    </w:p>
    <w:p w14:paraId="523A6AE3" w14:textId="057C529C" w:rsidR="00BF118D" w:rsidRDefault="00B5506A" w:rsidP="002E1330">
      <w:r>
        <w:t>The following changes have been made to the 2032 ADS PCM V2.</w:t>
      </w:r>
      <w:r w:rsidR="008B2FE1">
        <w:t>1</w:t>
      </w:r>
      <w:r w:rsidR="00ED47A1">
        <w:t xml:space="preserve"> </w:t>
      </w:r>
      <w:r>
        <w:t>case</w:t>
      </w:r>
      <w:r w:rsidR="00ED47A1">
        <w:t xml:space="preserve"> to create the 2032 ADS PCM V2.</w:t>
      </w:r>
      <w:r w:rsidR="00B52876">
        <w:t>3</w:t>
      </w:r>
      <w:r w:rsidR="00ED47A1">
        <w:t xml:space="preserve"> case</w:t>
      </w:r>
      <w:r>
        <w:t>:</w:t>
      </w:r>
    </w:p>
    <w:tbl>
      <w:tblPr>
        <w:tblStyle w:val="WECCDefault"/>
        <w:tblW w:w="0" w:type="auto"/>
        <w:tblLook w:val="04A0" w:firstRow="1" w:lastRow="0" w:firstColumn="1" w:lastColumn="0" w:noHBand="0" w:noVBand="1"/>
      </w:tblPr>
      <w:tblGrid>
        <w:gridCol w:w="4573"/>
        <w:gridCol w:w="5497"/>
      </w:tblGrid>
      <w:tr w:rsidR="00B5506A" w14:paraId="0C9CAB43" w14:textId="77777777" w:rsidTr="004257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573" w:type="dxa"/>
          </w:tcPr>
          <w:p w14:paraId="14E10EBD" w14:textId="0D8FB8EF" w:rsidR="00B5506A" w:rsidRDefault="00B5506A" w:rsidP="002E1330">
            <w:r>
              <w:t>Change File Name</w:t>
            </w:r>
          </w:p>
        </w:tc>
        <w:tc>
          <w:tcPr>
            <w:tcW w:w="5497" w:type="dxa"/>
          </w:tcPr>
          <w:p w14:paraId="18FF1386" w14:textId="24951D09" w:rsidR="00B5506A" w:rsidRPr="00B968D6" w:rsidRDefault="00B5506A" w:rsidP="002E1330">
            <w:pPr>
              <w:rPr>
                <w:b w:val="0"/>
              </w:rPr>
            </w:pPr>
            <w:r>
              <w:t>D</w:t>
            </w:r>
            <w:r w:rsidR="00B968D6">
              <w:t>e</w:t>
            </w:r>
            <w:r>
              <w:t>scription</w:t>
            </w:r>
          </w:p>
        </w:tc>
      </w:tr>
      <w:tr w:rsidR="004F56B8" w14:paraId="1BEB3822" w14:textId="77777777" w:rsidTr="00425725">
        <w:tc>
          <w:tcPr>
            <w:tcW w:w="4573" w:type="dxa"/>
          </w:tcPr>
          <w:p w14:paraId="7985F51D" w14:textId="028D07CB" w:rsidR="004F56B8" w:rsidRPr="00F90227" w:rsidRDefault="004F56B8" w:rsidP="002E1330">
            <w:r w:rsidRPr="004F56B8">
              <w:t>2022-8-29_Set-up BTM Load mapping for PF export</w:t>
            </w:r>
          </w:p>
        </w:tc>
        <w:tc>
          <w:tcPr>
            <w:tcW w:w="5497" w:type="dxa"/>
          </w:tcPr>
          <w:p w14:paraId="231947FB" w14:textId="647ADF86" w:rsidR="004F56B8" w:rsidRDefault="004F56B8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 xml:space="preserve">Move distribution of DG-BTM from generator distribution table to the </w:t>
            </w:r>
            <w:proofErr w:type="spellStart"/>
            <w:r>
              <w:t>BTMGen</w:t>
            </w:r>
            <w:proofErr w:type="spellEnd"/>
            <w:r>
              <w:t xml:space="preserve">-Load Mapping feature. This places the BTM generation in the loads as </w:t>
            </w:r>
            <w:proofErr w:type="spellStart"/>
            <w:r>
              <w:t>Pdgen</w:t>
            </w:r>
            <w:proofErr w:type="spellEnd"/>
            <w:r>
              <w:t xml:space="preserve"> in PF case exports.</w:t>
            </w:r>
          </w:p>
        </w:tc>
      </w:tr>
      <w:tr w:rsidR="00B5506A" w14:paraId="1BF1D8EC" w14:textId="77777777" w:rsidTr="004257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73" w:type="dxa"/>
          </w:tcPr>
          <w:p w14:paraId="51F30139" w14:textId="140AEE38" w:rsidR="00B5506A" w:rsidRDefault="00F90227" w:rsidP="002E1330">
            <w:r w:rsidRPr="00F90227">
              <w:t>2022-9-26_Delete unused gens that show in DB only</w:t>
            </w:r>
          </w:p>
        </w:tc>
        <w:tc>
          <w:tcPr>
            <w:tcW w:w="5497" w:type="dxa"/>
          </w:tcPr>
          <w:p w14:paraId="7282B8A0" w14:textId="0DE25128" w:rsidR="006C151B" w:rsidRDefault="00F90227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Delete generators th</w:t>
            </w:r>
            <w:r w:rsidR="006938C3">
              <w:t>at are from previous cycles that appear in database only</w:t>
            </w:r>
          </w:p>
        </w:tc>
      </w:tr>
      <w:tr w:rsidR="00B5506A" w14:paraId="4B3AD958" w14:textId="77777777" w:rsidTr="00425725">
        <w:tc>
          <w:tcPr>
            <w:tcW w:w="4573" w:type="dxa"/>
          </w:tcPr>
          <w:p w14:paraId="4EC09138" w14:textId="6A6F9C04" w:rsidR="00B5506A" w:rsidRDefault="006938C3" w:rsidP="002E1330">
            <w:r w:rsidRPr="006938C3">
              <w:t>2022-9-27_EPE Generator Balance Nomogram Update Gens</w:t>
            </w:r>
          </w:p>
        </w:tc>
        <w:tc>
          <w:tcPr>
            <w:tcW w:w="5497" w:type="dxa"/>
          </w:tcPr>
          <w:p w14:paraId="4C8FFF1D" w14:textId="1A4D0480" w:rsidR="00B5506A" w:rsidRDefault="006938C3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Update to include all EPE generators in the EPE balance nomogram</w:t>
            </w:r>
          </w:p>
        </w:tc>
      </w:tr>
      <w:tr w:rsidR="00B5506A" w14:paraId="6EA0F729" w14:textId="77777777" w:rsidTr="004257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73" w:type="dxa"/>
          </w:tcPr>
          <w:p w14:paraId="771118CB" w14:textId="2E03C733" w:rsidR="00B5506A" w:rsidRDefault="006938C3" w:rsidP="002E1330">
            <w:r w:rsidRPr="006938C3">
              <w:t>2022-9-28</w:t>
            </w:r>
            <w:r>
              <w:t xml:space="preserve"> </w:t>
            </w:r>
            <w:r w:rsidRPr="006938C3">
              <w:t>BESS</w:t>
            </w:r>
            <w:r>
              <w:t xml:space="preserve"> </w:t>
            </w:r>
            <w:r w:rsidRPr="006938C3">
              <w:t>Charging</w:t>
            </w:r>
            <w:r>
              <w:t xml:space="preserve"> </w:t>
            </w:r>
            <w:r w:rsidRPr="006938C3">
              <w:t>duration</w:t>
            </w:r>
            <w:r>
              <w:t xml:space="preserve"> </w:t>
            </w:r>
            <w:r w:rsidRPr="006938C3">
              <w:t>adj</w:t>
            </w:r>
          </w:p>
        </w:tc>
        <w:tc>
          <w:tcPr>
            <w:tcW w:w="5497" w:type="dxa"/>
          </w:tcPr>
          <w:p w14:paraId="65F1218C" w14:textId="6081120C" w:rsidR="00B5506A" w:rsidRDefault="006938C3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 xml:space="preserve">Changed all batteries to have 4 hours of storage (23 batteries only had 1 hour storage) </w:t>
            </w:r>
          </w:p>
        </w:tc>
      </w:tr>
      <w:tr w:rsidR="00BA36E6" w14:paraId="569B8CDF" w14:textId="77777777" w:rsidTr="00425725">
        <w:tc>
          <w:tcPr>
            <w:tcW w:w="4573" w:type="dxa"/>
          </w:tcPr>
          <w:p w14:paraId="5CD6A3C9" w14:textId="2593A5B8" w:rsidR="00BA36E6" w:rsidRPr="006938C3" w:rsidRDefault="00BA36E6" w:rsidP="002E1330">
            <w:r w:rsidRPr="00BA36E6">
              <w:t>2022-9-30_add S Utah phase shifters</w:t>
            </w:r>
          </w:p>
        </w:tc>
        <w:tc>
          <w:tcPr>
            <w:tcW w:w="5497" w:type="dxa"/>
          </w:tcPr>
          <w:p w14:paraId="1B96D499" w14:textId="77777777" w:rsidR="00BA36E6" w:rsidRDefault="00BA36E6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 xml:space="preserve">Changed phase shifters in southern Utah to phase shifting transformers. </w:t>
            </w:r>
          </w:p>
          <w:p w14:paraId="29C527DE" w14:textId="77777777" w:rsidR="00BA36E6" w:rsidRDefault="00BA36E6" w:rsidP="00BA36E6">
            <w:pPr>
              <w:pStyle w:val="ListParagraph"/>
              <w:numPr>
                <w:ilvl w:val="1"/>
                <w:numId w:val="20"/>
              </w:numPr>
              <w:spacing w:before="0"/>
            </w:pPr>
            <w:r>
              <w:t>Settings are -30° to 30</w:t>
            </w:r>
            <w:r>
              <w:t>°</w:t>
            </w:r>
            <w:r>
              <w:t xml:space="preserve"> and $10/degree for changing angle</w:t>
            </w:r>
          </w:p>
          <w:p w14:paraId="31564B82" w14:textId="1F54F512" w:rsidR="00BA36E6" w:rsidRDefault="00BA36E6" w:rsidP="00BA36E6">
            <w:pPr>
              <w:pStyle w:val="ListParagraph"/>
              <w:numPr>
                <w:ilvl w:val="1"/>
                <w:numId w:val="20"/>
              </w:numPr>
              <w:spacing w:before="0"/>
            </w:pPr>
            <w:r>
              <w:t>Initial angel is 0 since we do not have any other data</w:t>
            </w:r>
          </w:p>
        </w:tc>
      </w:tr>
      <w:tr w:rsidR="00B5506A" w14:paraId="2AA07301" w14:textId="77777777" w:rsidTr="004257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73" w:type="dxa"/>
          </w:tcPr>
          <w:p w14:paraId="296F195F" w14:textId="002DBE9D" w:rsidR="00B5506A" w:rsidRDefault="006938C3" w:rsidP="002E1330">
            <w:r w:rsidRPr="006938C3">
              <w:t>2022-10-10_Geo Must Run</w:t>
            </w:r>
          </w:p>
        </w:tc>
        <w:tc>
          <w:tcPr>
            <w:tcW w:w="5497" w:type="dxa"/>
          </w:tcPr>
          <w:p w14:paraId="262D158C" w14:textId="14B19FCE" w:rsidR="00D06588" w:rsidRDefault="006938C3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Made sure all geothermal units are set to must run</w:t>
            </w:r>
          </w:p>
        </w:tc>
      </w:tr>
      <w:tr w:rsidR="00B5506A" w14:paraId="09BF2FAA" w14:textId="77777777" w:rsidTr="00425725">
        <w:tc>
          <w:tcPr>
            <w:tcW w:w="4573" w:type="dxa"/>
          </w:tcPr>
          <w:p w14:paraId="108B9CEA" w14:textId="3600E0D2" w:rsidR="00B5506A" w:rsidRDefault="006938C3" w:rsidP="002E1330">
            <w:r w:rsidRPr="006938C3">
              <w:t>2022-10-12_BANC Hydro Spillage update</w:t>
            </w:r>
          </w:p>
        </w:tc>
        <w:tc>
          <w:tcPr>
            <w:tcW w:w="5497" w:type="dxa"/>
          </w:tcPr>
          <w:p w14:paraId="570F871C" w14:textId="00D98A44" w:rsidR="007B0777" w:rsidRDefault="006938C3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Adjust BANC hydro spillage from information provided by BANC</w:t>
            </w:r>
          </w:p>
        </w:tc>
      </w:tr>
      <w:tr w:rsidR="007B0777" w14:paraId="326C1B93" w14:textId="77777777" w:rsidTr="004257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73" w:type="dxa"/>
          </w:tcPr>
          <w:p w14:paraId="55DD3904" w14:textId="6012AE3B" w:rsidR="007B0777" w:rsidRPr="003A73B9" w:rsidRDefault="006938C3" w:rsidP="002E1330">
            <w:r w:rsidRPr="006938C3">
              <w:t xml:space="preserve">2022-10-17_Update AB32 Nomo_AB32 NW and SW </w:t>
            </w:r>
            <w:proofErr w:type="spellStart"/>
            <w:r w:rsidRPr="006938C3">
              <w:t>Wheeling_TB</w:t>
            </w:r>
            <w:proofErr w:type="spellEnd"/>
          </w:p>
        </w:tc>
        <w:tc>
          <w:tcPr>
            <w:tcW w:w="5497" w:type="dxa"/>
          </w:tcPr>
          <w:p w14:paraId="1C903FFB" w14:textId="77777777" w:rsidR="007B0777" w:rsidRDefault="006938C3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Updated AB32 Nomogram penalty</w:t>
            </w:r>
          </w:p>
          <w:p w14:paraId="22E12599" w14:textId="6583EEAA" w:rsidR="006938C3" w:rsidRDefault="006938C3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Updated AB32 import wheeling rate from NW and SW</w:t>
            </w:r>
          </w:p>
        </w:tc>
      </w:tr>
      <w:tr w:rsidR="007B0777" w14:paraId="6898E228" w14:textId="77777777" w:rsidTr="00425725">
        <w:tc>
          <w:tcPr>
            <w:tcW w:w="4573" w:type="dxa"/>
          </w:tcPr>
          <w:p w14:paraId="799E17A4" w14:textId="65899691" w:rsidR="007B0777" w:rsidRPr="003A73B9" w:rsidRDefault="006938C3" w:rsidP="002E1330">
            <w:r w:rsidRPr="006938C3">
              <w:t xml:space="preserve">2022-10-18_UseGenericHeatrateAlamitosCC </w:t>
            </w:r>
            <w:proofErr w:type="spellStart"/>
            <w:r w:rsidRPr="006938C3">
              <w:t>HuntingtonBeachCC_TB</w:t>
            </w:r>
            <w:proofErr w:type="spellEnd"/>
          </w:p>
        </w:tc>
        <w:tc>
          <w:tcPr>
            <w:tcW w:w="5497" w:type="dxa"/>
          </w:tcPr>
          <w:p w14:paraId="40FDEDCF" w14:textId="5749460B" w:rsidR="007B0777" w:rsidRDefault="006938C3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 xml:space="preserve">Updated heat rates from Alamitos CC and Huntington Beach CC units </w:t>
            </w:r>
          </w:p>
        </w:tc>
      </w:tr>
      <w:tr w:rsidR="007B0777" w14:paraId="15489D96" w14:textId="77777777" w:rsidTr="004257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73" w:type="dxa"/>
          </w:tcPr>
          <w:p w14:paraId="08246897" w14:textId="1336F211" w:rsidR="007B0777" w:rsidRPr="003A73B9" w:rsidRDefault="006938C3" w:rsidP="002E1330">
            <w:r w:rsidRPr="006938C3">
              <w:t xml:space="preserve">2022-10-19_EPE TEPC </w:t>
            </w:r>
            <w:proofErr w:type="spellStart"/>
            <w:r w:rsidRPr="006938C3">
              <w:t>GenBalanceNomo</w:t>
            </w:r>
            <w:proofErr w:type="spellEnd"/>
            <w:r w:rsidRPr="006938C3">
              <w:t xml:space="preserve"> 20Penalty</w:t>
            </w:r>
          </w:p>
        </w:tc>
        <w:tc>
          <w:tcPr>
            <w:tcW w:w="5497" w:type="dxa"/>
          </w:tcPr>
          <w:p w14:paraId="77CD2D1D" w14:textId="5A35F8CB" w:rsidR="002C0F65" w:rsidRDefault="008B2FE1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Updated EPE and TEPC generator load balance nomograms to have a $20/MWh penalty instead of $1000/MWh</w:t>
            </w:r>
          </w:p>
        </w:tc>
      </w:tr>
      <w:tr w:rsidR="006938C3" w14:paraId="76DC7D24" w14:textId="77777777" w:rsidTr="00425725">
        <w:tc>
          <w:tcPr>
            <w:tcW w:w="4573" w:type="dxa"/>
          </w:tcPr>
          <w:p w14:paraId="67EC1C3A" w14:textId="2F99B32B" w:rsidR="006938C3" w:rsidRPr="006938C3" w:rsidRDefault="006938C3" w:rsidP="002E1330">
            <w:r w:rsidRPr="006938C3">
              <w:t>2022-10-19_PACW out of area Distribution assignment</w:t>
            </w:r>
          </w:p>
        </w:tc>
        <w:tc>
          <w:tcPr>
            <w:tcW w:w="5497" w:type="dxa"/>
          </w:tcPr>
          <w:p w14:paraId="6803DA59" w14:textId="4D6515DD" w:rsidR="006938C3" w:rsidRDefault="008B2FE1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Assigned PAC generators located in BPAT to PACW in Reserve Capacity Distribution table</w:t>
            </w:r>
          </w:p>
        </w:tc>
      </w:tr>
      <w:tr w:rsidR="006938C3" w14:paraId="0A4F48B3" w14:textId="77777777" w:rsidTr="004257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73" w:type="dxa"/>
          </w:tcPr>
          <w:p w14:paraId="290974B1" w14:textId="32335AB9" w:rsidR="006938C3" w:rsidRPr="006938C3" w:rsidRDefault="006938C3" w:rsidP="002E1330">
            <w:r w:rsidRPr="006938C3">
              <w:lastRenderedPageBreak/>
              <w:t>2022-10-20_Remote</w:t>
            </w:r>
            <w:r w:rsidR="005C746D">
              <w:t xml:space="preserve"> </w:t>
            </w:r>
            <w:r w:rsidRPr="006938C3">
              <w:t>Generator</w:t>
            </w:r>
            <w:r w:rsidR="005C746D">
              <w:t xml:space="preserve"> </w:t>
            </w:r>
            <w:r w:rsidRPr="006938C3">
              <w:t>Distribution</w:t>
            </w:r>
            <w:r w:rsidR="005C746D">
              <w:t xml:space="preserve"> </w:t>
            </w:r>
            <w:proofErr w:type="spellStart"/>
            <w:r w:rsidRPr="006938C3">
              <w:t>Assignment_TB</w:t>
            </w:r>
            <w:proofErr w:type="spellEnd"/>
          </w:p>
        </w:tc>
        <w:tc>
          <w:tcPr>
            <w:tcW w:w="5497" w:type="dxa"/>
          </w:tcPr>
          <w:p w14:paraId="6ACE603F" w14:textId="1D4B53B8" w:rsidR="006938C3" w:rsidRDefault="008B2FE1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Assigned several generators located in AZPS to correct BAs</w:t>
            </w:r>
          </w:p>
        </w:tc>
      </w:tr>
      <w:tr w:rsidR="005C746D" w14:paraId="4B05FA52" w14:textId="77777777" w:rsidTr="00425725">
        <w:tc>
          <w:tcPr>
            <w:tcW w:w="4573" w:type="dxa"/>
          </w:tcPr>
          <w:p w14:paraId="7E003C5C" w14:textId="1D9FE665" w:rsidR="005C746D" w:rsidRPr="005C746D" w:rsidRDefault="005C746D" w:rsidP="002E1330">
            <w:r w:rsidRPr="005C746D">
              <w:t>2022-10-20_Correct</w:t>
            </w:r>
            <w:r>
              <w:t xml:space="preserve"> </w:t>
            </w:r>
            <w:r w:rsidRPr="005C746D">
              <w:t>Geothermal</w:t>
            </w:r>
            <w:r>
              <w:t xml:space="preserve"> </w:t>
            </w:r>
            <w:r w:rsidRPr="005C746D">
              <w:t xml:space="preserve">Modeling and </w:t>
            </w:r>
            <w:proofErr w:type="spellStart"/>
            <w:r w:rsidRPr="005C746D">
              <w:t>Fuel_TB</w:t>
            </w:r>
            <w:proofErr w:type="spellEnd"/>
          </w:p>
        </w:tc>
        <w:tc>
          <w:tcPr>
            <w:tcW w:w="5497" w:type="dxa"/>
          </w:tcPr>
          <w:p w14:paraId="422A7DBF" w14:textId="77777777" w:rsidR="005C746D" w:rsidRDefault="005C746D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 xml:space="preserve">Update heat rates and fuel for those geo units modeled as combined cycles. </w:t>
            </w:r>
          </w:p>
          <w:p w14:paraId="193D061C" w14:textId="77777777" w:rsidR="005C746D" w:rsidRDefault="005C746D" w:rsidP="005C746D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 xml:space="preserve">Update FOR </w:t>
            </w:r>
            <w:proofErr w:type="spellStart"/>
            <w:r>
              <w:t>for</w:t>
            </w:r>
            <w:proofErr w:type="spellEnd"/>
            <w:r>
              <w:t xml:space="preserve"> geo units to be 6.88% according to GADS data.</w:t>
            </w:r>
          </w:p>
          <w:p w14:paraId="6A188DD4" w14:textId="63802763" w:rsidR="005C746D" w:rsidRDefault="005C746D" w:rsidP="005C746D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Update other data for geo units.</w:t>
            </w:r>
          </w:p>
        </w:tc>
      </w:tr>
      <w:tr w:rsidR="0062546D" w14:paraId="0EE998C2" w14:textId="77777777" w:rsidTr="004257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73" w:type="dxa"/>
          </w:tcPr>
          <w:p w14:paraId="55863B99" w14:textId="1D31FBED" w:rsidR="0062546D" w:rsidRPr="005C746D" w:rsidRDefault="0062546D" w:rsidP="002E1330">
            <w:r w:rsidRPr="0062546D">
              <w:t>2022-10-20_WRGianelli_NonSpill_JJ</w:t>
            </w:r>
          </w:p>
        </w:tc>
        <w:tc>
          <w:tcPr>
            <w:tcW w:w="5497" w:type="dxa"/>
          </w:tcPr>
          <w:p w14:paraId="19A94C87" w14:textId="3253A72D" w:rsidR="0062546D" w:rsidRDefault="0062546D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 xml:space="preserve">Updated the </w:t>
            </w:r>
            <w:proofErr w:type="spellStart"/>
            <w:r>
              <w:t>W_R_Gianelli</w:t>
            </w:r>
            <w:proofErr w:type="spellEnd"/>
            <w:r>
              <w:t xml:space="preserve"> Pumped Storage units to </w:t>
            </w:r>
            <w:proofErr w:type="spellStart"/>
            <w:r>
              <w:t>non spill</w:t>
            </w:r>
            <w:proofErr w:type="spellEnd"/>
          </w:p>
        </w:tc>
      </w:tr>
      <w:tr w:rsidR="0062546D" w14:paraId="6F375EB9" w14:textId="77777777" w:rsidTr="00425725">
        <w:tc>
          <w:tcPr>
            <w:tcW w:w="4573" w:type="dxa"/>
          </w:tcPr>
          <w:p w14:paraId="3296096B" w14:textId="5B25D3F0" w:rsidR="0062546D" w:rsidRPr="005C746D" w:rsidRDefault="0062546D" w:rsidP="002E1330">
            <w:r w:rsidRPr="0062546D">
              <w:t>2022-10-20_ThermalGenericParam_Fix_JJ</w:t>
            </w:r>
          </w:p>
        </w:tc>
        <w:tc>
          <w:tcPr>
            <w:tcW w:w="5497" w:type="dxa"/>
          </w:tcPr>
          <w:p w14:paraId="40F41787" w14:textId="62277F1C" w:rsidR="0062546D" w:rsidRDefault="0062546D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Updated the thermal units with high number of starts to generic data</w:t>
            </w:r>
            <w:r w:rsidR="00C04CE2">
              <w:t>:</w:t>
            </w:r>
            <w:r>
              <w:t xml:space="preserve"> heat rate, VOM, start cost, Outage rate, Ramp </w:t>
            </w:r>
            <w:proofErr w:type="spellStart"/>
            <w:r>
              <w:t>RateMin</w:t>
            </w:r>
            <w:proofErr w:type="spellEnd"/>
            <w:r>
              <w:t xml:space="preserve"> </w:t>
            </w:r>
            <w:proofErr w:type="spellStart"/>
            <w:r>
              <w:t>upDown</w:t>
            </w:r>
            <w:proofErr w:type="spellEnd"/>
          </w:p>
        </w:tc>
      </w:tr>
      <w:tr w:rsidR="003C65C9" w14:paraId="45AB1B9A" w14:textId="77777777" w:rsidTr="004257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73" w:type="dxa"/>
          </w:tcPr>
          <w:p w14:paraId="6799CC25" w14:textId="08C09598" w:rsidR="003C65C9" w:rsidRPr="0062546D" w:rsidRDefault="003C65C9" w:rsidP="002E1330">
            <w:r w:rsidRPr="003C65C9">
              <w:t xml:space="preserve">2022-11-1_Add Modify Gens according to PF and </w:t>
            </w:r>
            <w:proofErr w:type="spellStart"/>
            <w:r w:rsidRPr="003C65C9">
              <w:t>LaR_TB</w:t>
            </w:r>
            <w:proofErr w:type="spellEnd"/>
          </w:p>
        </w:tc>
        <w:tc>
          <w:tcPr>
            <w:tcW w:w="5497" w:type="dxa"/>
          </w:tcPr>
          <w:p w14:paraId="7D77CAEB" w14:textId="77777777" w:rsidR="003C65C9" w:rsidRDefault="003C65C9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One missing generator was added, Opal Springs Hydro</w:t>
            </w:r>
          </w:p>
          <w:p w14:paraId="12399238" w14:textId="4FFAB29C" w:rsidR="003C65C9" w:rsidRDefault="003C65C9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proofErr w:type="spellStart"/>
            <w:r>
              <w:t>Aiya</w:t>
            </w:r>
            <w:proofErr w:type="spellEnd"/>
            <w:r>
              <w:t xml:space="preserve"> Solar generator ID was corrected</w:t>
            </w:r>
          </w:p>
        </w:tc>
      </w:tr>
      <w:tr w:rsidR="003C65C9" w14:paraId="60FE5970" w14:textId="77777777" w:rsidTr="00425725">
        <w:tc>
          <w:tcPr>
            <w:tcW w:w="4573" w:type="dxa"/>
          </w:tcPr>
          <w:p w14:paraId="6C596C7F" w14:textId="18A10138" w:rsidR="003C65C9" w:rsidRPr="0062546D" w:rsidRDefault="003C65C9" w:rsidP="002E1330">
            <w:r w:rsidRPr="003C65C9">
              <w:t xml:space="preserve">2022-11-07 </w:t>
            </w:r>
            <w:proofErr w:type="spellStart"/>
            <w:r w:rsidRPr="003C65C9">
              <w:t>TEPC_Nomogram_Update</w:t>
            </w:r>
            <w:proofErr w:type="spellEnd"/>
          </w:p>
        </w:tc>
        <w:tc>
          <w:tcPr>
            <w:tcW w:w="5497" w:type="dxa"/>
          </w:tcPr>
          <w:p w14:paraId="3DA43E7F" w14:textId="6D74D93A" w:rsidR="003C65C9" w:rsidRDefault="003C65C9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Update to add all local TEPC local generation to local gen nomogram</w:t>
            </w:r>
          </w:p>
        </w:tc>
      </w:tr>
      <w:tr w:rsidR="003C65C9" w14:paraId="458B6176" w14:textId="77777777" w:rsidTr="004257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73" w:type="dxa"/>
          </w:tcPr>
          <w:p w14:paraId="0512564F" w14:textId="32E7DCC4" w:rsidR="003C65C9" w:rsidRPr="0062546D" w:rsidRDefault="003C65C9" w:rsidP="002E1330">
            <w:r w:rsidRPr="003C65C9">
              <w:t xml:space="preserve">2022-11-9_DC Intertie </w:t>
            </w:r>
            <w:proofErr w:type="spellStart"/>
            <w:r w:rsidRPr="003C65C9">
              <w:t>updates_TB</w:t>
            </w:r>
            <w:proofErr w:type="spellEnd"/>
          </w:p>
        </w:tc>
        <w:tc>
          <w:tcPr>
            <w:tcW w:w="5497" w:type="dxa"/>
          </w:tcPr>
          <w:p w14:paraId="41FEBB54" w14:textId="77777777" w:rsidR="003C65C9" w:rsidRDefault="003C65C9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Update the DC interties with new hourly shapes from 2018 actual data</w:t>
            </w:r>
          </w:p>
          <w:p w14:paraId="2B85C2B5" w14:textId="747223F2" w:rsidR="003C65C9" w:rsidRDefault="003C65C9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Blackwater DC intertie was missing, added to the PCM case</w:t>
            </w:r>
          </w:p>
        </w:tc>
      </w:tr>
      <w:tr w:rsidR="003C65C9" w14:paraId="63206B8D" w14:textId="77777777" w:rsidTr="00425725">
        <w:tc>
          <w:tcPr>
            <w:tcW w:w="4573" w:type="dxa"/>
          </w:tcPr>
          <w:p w14:paraId="26C2271F" w14:textId="5C3CACA7" w:rsidR="003C65C9" w:rsidRPr="0062546D" w:rsidRDefault="003C65C9" w:rsidP="002E1330">
            <w:r w:rsidRPr="003C65C9">
              <w:t xml:space="preserve">2022-11-11_move Big Rock </w:t>
            </w:r>
            <w:proofErr w:type="spellStart"/>
            <w:r w:rsidRPr="003C65C9">
              <w:t>Solar_TB</w:t>
            </w:r>
            <w:proofErr w:type="spellEnd"/>
          </w:p>
        </w:tc>
        <w:tc>
          <w:tcPr>
            <w:tcW w:w="5497" w:type="dxa"/>
          </w:tcPr>
          <w:p w14:paraId="01638CE2" w14:textId="1BBC0D6F" w:rsidR="003C65C9" w:rsidRDefault="00CE3703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Big Rock Solar interconnection was moved from 23284 to 22356</w:t>
            </w:r>
          </w:p>
        </w:tc>
      </w:tr>
      <w:tr w:rsidR="003C65C9" w14:paraId="46717ADC" w14:textId="77777777" w:rsidTr="004257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73" w:type="dxa"/>
          </w:tcPr>
          <w:p w14:paraId="3F2879FD" w14:textId="01A63BFC" w:rsidR="003C65C9" w:rsidRPr="0062546D" w:rsidRDefault="003C65C9" w:rsidP="002E1330">
            <w:r w:rsidRPr="003C65C9">
              <w:t xml:space="preserve">2022-11-11_Add Boardman to Hemmingway Tx </w:t>
            </w:r>
            <w:proofErr w:type="spellStart"/>
            <w:r w:rsidRPr="003C65C9">
              <w:t>project_TB</w:t>
            </w:r>
            <w:proofErr w:type="spellEnd"/>
          </w:p>
        </w:tc>
        <w:tc>
          <w:tcPr>
            <w:tcW w:w="5497" w:type="dxa"/>
          </w:tcPr>
          <w:p w14:paraId="057E3AD0" w14:textId="77777777" w:rsidR="003C65C9" w:rsidRDefault="00CE3703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>Boardman to Hemmingway transmission project added to PCM</w:t>
            </w:r>
          </w:p>
          <w:p w14:paraId="0EDCC4AB" w14:textId="6ECB17CC" w:rsidR="00CE3703" w:rsidRDefault="00CE3703" w:rsidP="006938C3">
            <w:pPr>
              <w:pStyle w:val="ListParagraph"/>
              <w:numPr>
                <w:ilvl w:val="0"/>
                <w:numId w:val="20"/>
              </w:numPr>
              <w:spacing w:before="0"/>
              <w:ind w:left="504"/>
            </w:pPr>
            <w:r>
              <w:t xml:space="preserve">Path 14, Idaho to Northwest; and Path 82, </w:t>
            </w:r>
            <w:proofErr w:type="spellStart"/>
            <w:r>
              <w:t>TotBeast</w:t>
            </w:r>
            <w:proofErr w:type="spellEnd"/>
            <w:r>
              <w:t xml:space="preserve"> updated to reflect addition of B2H</w:t>
            </w:r>
          </w:p>
        </w:tc>
      </w:tr>
    </w:tbl>
    <w:p w14:paraId="74EAA82A" w14:textId="77777777" w:rsidR="00B5506A" w:rsidRDefault="00B5506A" w:rsidP="000F568B">
      <w:pPr>
        <w:pStyle w:val="Heading1"/>
      </w:pPr>
    </w:p>
    <w:sectPr w:rsidR="00B5506A" w:rsidSect="00255412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30199" w14:textId="77777777" w:rsidR="00B5506A" w:rsidRDefault="00B5506A" w:rsidP="00E60569">
      <w:r>
        <w:separator/>
      </w:r>
    </w:p>
    <w:p w14:paraId="44513787" w14:textId="77777777" w:rsidR="00B5506A" w:rsidRDefault="00B5506A" w:rsidP="00E60569"/>
  </w:endnote>
  <w:endnote w:type="continuationSeparator" w:id="0">
    <w:p w14:paraId="02255BCB" w14:textId="77777777" w:rsidR="00B5506A" w:rsidRDefault="00B5506A" w:rsidP="00E60569">
      <w:r>
        <w:continuationSeparator/>
      </w:r>
    </w:p>
    <w:p w14:paraId="6E3F356A" w14:textId="77777777" w:rsidR="00B5506A" w:rsidRDefault="00B5506A" w:rsidP="00E60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-2063625332"/>
      <w:docPartObj>
        <w:docPartGallery w:val="Page Numbers (Bottom of Page)"/>
        <w:docPartUnique/>
      </w:docPartObj>
    </w:sdtPr>
    <w:sdtEndPr>
      <w:rPr>
        <w:b w:val="0"/>
      </w:rPr>
    </w:sdtEndPr>
    <w:sdtContent>
      <w:p w14:paraId="55B3313E" w14:textId="77777777" w:rsidR="00E115FD" w:rsidRPr="00E5288E" w:rsidRDefault="00FE6A90" w:rsidP="007B7780">
        <w:pPr>
          <w:pStyle w:val="Footer"/>
          <w:tabs>
            <w:tab w:val="clear" w:pos="4680"/>
            <w:tab w:val="center" w:pos="5040"/>
          </w:tabs>
          <w:rPr>
            <w:sz w:val="22"/>
          </w:rPr>
        </w:pPr>
        <w:r w:rsidRPr="00E5288E">
          <w:rPr>
            <w:sz w:val="22"/>
          </w:rPr>
          <w:drawing>
            <wp:inline distT="0" distB="0" distL="0" distR="0" wp14:anchorId="12B86984" wp14:editId="47B4A706">
              <wp:extent cx="413846" cy="274320"/>
              <wp:effectExtent l="0" t="0" r="5715" b="0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WECC-LOGO_EVEN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3846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E5288E">
          <w:rPr>
            <w:sz w:val="22"/>
            <w:u w:val="single"/>
          </w:rPr>
          <w:tab/>
        </w:r>
        <w:r w:rsidRPr="00E5288E">
          <w:rPr>
            <w:sz w:val="22"/>
            <w:u w:val="single"/>
          </w:rPr>
          <w:tab/>
        </w:r>
        <w:r w:rsidRPr="00E5288E">
          <w:rPr>
            <w:sz w:val="22"/>
          </w:rPr>
          <w:t xml:space="preserve"> </w:t>
        </w:r>
        <w:r w:rsidR="00F82512" w:rsidRPr="009B19EE">
          <w:rPr>
            <w:b w:val="0"/>
            <w:noProof w:val="0"/>
            <w:sz w:val="22"/>
          </w:rPr>
          <w:fldChar w:fldCharType="begin"/>
        </w:r>
        <w:r w:rsidR="00F82512" w:rsidRPr="009B19EE">
          <w:rPr>
            <w:b w:val="0"/>
            <w:sz w:val="22"/>
          </w:rPr>
          <w:instrText xml:space="preserve"> PAGE   \* MERGEFORMAT </w:instrText>
        </w:r>
        <w:r w:rsidR="00F82512" w:rsidRPr="009B19EE">
          <w:rPr>
            <w:b w:val="0"/>
            <w:noProof w:val="0"/>
            <w:sz w:val="22"/>
          </w:rPr>
          <w:fldChar w:fldCharType="separate"/>
        </w:r>
        <w:r w:rsidR="00640848">
          <w:rPr>
            <w:b w:val="0"/>
            <w:sz w:val="22"/>
          </w:rPr>
          <w:t>2</w:t>
        </w:r>
        <w:r w:rsidR="00F82512" w:rsidRPr="009B19EE">
          <w:rPr>
            <w:b w:val="0"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259E7" w14:textId="77777777" w:rsidR="00323BC9" w:rsidRPr="002A59FD" w:rsidRDefault="002A59FD" w:rsidP="006D1E92">
    <w:pPr>
      <w:pStyle w:val="Footer"/>
      <w:pBdr>
        <w:top w:val="single" w:sz="48" w:space="1" w:color="00395D" w:themeColor="text2"/>
        <w:bottom w:val="single" w:sz="48" w:space="1" w:color="00395D" w:themeColor="text2"/>
      </w:pBdr>
      <w:shd w:val="clear" w:color="auto" w:fill="00395D" w:themeFill="text2"/>
      <w:tabs>
        <w:tab w:val="clear" w:pos="4680"/>
        <w:tab w:val="center" w:pos="5040"/>
      </w:tabs>
      <w:spacing w:before="120" w:after="120" w:line="276" w:lineRule="auto"/>
      <w:jc w:val="center"/>
      <w:rPr>
        <w:b w:val="0"/>
        <w:color w:val="FFFFFF" w:themeColor="background1"/>
        <w:spacing w:val="20"/>
        <w:sz w:val="22"/>
      </w:rPr>
    </w:pPr>
    <w:r w:rsidRPr="002A59FD">
      <w:rPr>
        <w:b w:val="0"/>
        <w:color w:val="FFFFFF" w:themeColor="background1"/>
        <w:spacing w:val="20"/>
        <w:sz w:val="22"/>
      </w:rPr>
      <w:t>155 North 400 West | Suite 200 | Salt Lake City, Utah 84103</w:t>
    </w:r>
    <w:r w:rsidRPr="002A59FD">
      <w:rPr>
        <w:b w:val="0"/>
        <w:color w:val="FFFFFF" w:themeColor="background1"/>
        <w:spacing w:val="20"/>
        <w:sz w:val="22"/>
      </w:rPr>
      <w:br/>
      <w:t>www.wecc.org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AFEBF" w14:textId="77777777" w:rsidR="00B5506A" w:rsidRDefault="00B5506A" w:rsidP="00EA064E">
      <w:pPr>
        <w:spacing w:after="0"/>
      </w:pPr>
      <w:r>
        <w:separator/>
      </w:r>
    </w:p>
  </w:footnote>
  <w:footnote w:type="continuationSeparator" w:id="0">
    <w:p w14:paraId="4388B0FA" w14:textId="77777777" w:rsidR="00B5506A" w:rsidRDefault="00B5506A" w:rsidP="00E60569">
      <w:r>
        <w:continuationSeparator/>
      </w:r>
    </w:p>
    <w:p w14:paraId="6DFA46CD" w14:textId="77777777" w:rsidR="00B5506A" w:rsidRDefault="00B5506A" w:rsidP="00E60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B935" w14:textId="77777777" w:rsidR="002352DF" w:rsidRPr="00711643" w:rsidRDefault="002352DF" w:rsidP="002352DF">
    <w:pPr>
      <w:pStyle w:val="Header"/>
      <w:contextualSpacing w:val="0"/>
      <w:rPr>
        <w:sz w:val="14"/>
        <w:szCs w:val="14"/>
      </w:rPr>
    </w:pPr>
  </w:p>
  <w:p w14:paraId="5E941658" w14:textId="38ADA9A5" w:rsidR="00E115FD" w:rsidRPr="002352DF" w:rsidRDefault="00B5591D" w:rsidP="002352DF">
    <w:pPr>
      <w:pStyle w:val="Header"/>
      <w:spacing w:after="240"/>
      <w:contextualSpacing w:val="0"/>
      <w:rPr>
        <w:sz w:val="22"/>
        <w:szCs w:val="22"/>
      </w:rPr>
    </w:pPr>
    <w:r>
      <w:rPr>
        <w:sz w:val="22"/>
        <w:szCs w:val="22"/>
      </w:rPr>
      <w:t>Release 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1A69F" w14:textId="77777777" w:rsidR="00E60569" w:rsidRDefault="00A323FE" w:rsidP="00A323FE">
    <w:pPr>
      <w:pStyle w:val="Header"/>
      <w:contextualSpacing w:val="0"/>
      <w:jc w:val="lef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8786240" wp14:editId="3D5E1F9F">
          <wp:simplePos x="0" y="0"/>
          <wp:positionH relativeFrom="column">
            <wp:posOffset>4864</wp:posOffset>
          </wp:positionH>
          <wp:positionV relativeFrom="paragraph">
            <wp:posOffset>77821</wp:posOffset>
          </wp:positionV>
          <wp:extent cx="2929134" cy="938786"/>
          <wp:effectExtent l="0" t="0" r="5080" b="0"/>
          <wp:wrapTight wrapText="bothSides">
            <wp:wrapPolygon edited="0">
              <wp:start x="3653" y="0"/>
              <wp:lineTo x="0" y="2192"/>
              <wp:lineTo x="0" y="3507"/>
              <wp:lineTo x="422" y="7015"/>
              <wp:lineTo x="1686" y="14030"/>
              <wp:lineTo x="0" y="17976"/>
              <wp:lineTo x="0" y="21045"/>
              <wp:lineTo x="8009" y="21045"/>
              <wp:lineTo x="15174" y="21045"/>
              <wp:lineTo x="21497" y="21045"/>
              <wp:lineTo x="21497" y="17976"/>
              <wp:lineTo x="6744" y="14030"/>
              <wp:lineTo x="18406" y="14030"/>
              <wp:lineTo x="21497" y="12714"/>
              <wp:lineTo x="21497" y="5261"/>
              <wp:lineTo x="4356" y="0"/>
              <wp:lineTo x="3653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ECC_Tag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9134" cy="9387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F21E38" w14:textId="49D9381E" w:rsidR="00F82512" w:rsidRDefault="00B5506A" w:rsidP="00E60569">
    <w:pPr>
      <w:pStyle w:val="Header"/>
      <w:contextualSpacing w:val="0"/>
    </w:pPr>
    <w:bookmarkStart w:id="0" w:name="_Hlk535242431"/>
    <w:bookmarkStart w:id="1" w:name="_Hlk535242432"/>
    <w:bookmarkStart w:id="2" w:name="_Hlk535242433"/>
    <w:bookmarkStart w:id="3" w:name="_Hlk535242435"/>
    <w:bookmarkStart w:id="4" w:name="_Hlk535242436"/>
    <w:bookmarkStart w:id="5" w:name="_Hlk535242437"/>
    <w:bookmarkStart w:id="6" w:name="_Hlk535242438"/>
    <w:bookmarkStart w:id="7" w:name="_Hlk535242439"/>
    <w:bookmarkStart w:id="8" w:name="_Hlk535242440"/>
    <w:r>
      <w:t>2032 ADS PCM V2.</w:t>
    </w:r>
    <w:r w:rsidR="00B52876">
      <w:t>3</w:t>
    </w:r>
    <w:r>
      <w:t xml:space="preserve"> Release Notes</w:t>
    </w:r>
  </w:p>
  <w:p w14:paraId="267E18DF" w14:textId="722349F9" w:rsidR="00CF774D" w:rsidRPr="00761FA8" w:rsidRDefault="00B5506A" w:rsidP="00E60569">
    <w:pPr>
      <w:pStyle w:val="Header"/>
      <w:contextualSpacing w:val="0"/>
    </w:pPr>
    <w:r>
      <w:t>WECC Staff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p w14:paraId="4E8CE446" w14:textId="1338C5E3" w:rsidR="00F82512" w:rsidRPr="00761FA8" w:rsidRDefault="00B52876" w:rsidP="00E60569">
    <w:pPr>
      <w:pStyle w:val="Header"/>
      <w:contextualSpacing w:val="0"/>
    </w:pPr>
    <w:r>
      <w:t>November 15</w:t>
    </w:r>
    <w:r w:rsidR="00B5506A">
      <w:t>,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B70BC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7D"/>
    <w:multiLevelType w:val="singleLevel"/>
    <w:tmpl w:val="15E2F55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D694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3381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DB6B57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F495F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1A2B8B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38F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F018C0"/>
    <w:lvl w:ilvl="0">
      <w:start w:val="1"/>
      <w:numFmt w:val="decimal"/>
      <w:pStyle w:val="ListNumber"/>
      <w:lvlText w:val="%1."/>
      <w:lvlJc w:val="left"/>
      <w:pPr>
        <w:ind w:left="360" w:hanging="360"/>
      </w:pPr>
    </w:lvl>
  </w:abstractNum>
  <w:abstractNum w:abstractNumId="9" w15:restartNumberingAfterBreak="0">
    <w:nsid w:val="0EFA40DE"/>
    <w:multiLevelType w:val="hybridMultilevel"/>
    <w:tmpl w:val="80F2331C"/>
    <w:lvl w:ilvl="0" w:tplc="D7F0C31A">
      <w:start w:val="1"/>
      <w:numFmt w:val="decimal"/>
      <w:lvlText w:val="%1."/>
      <w:lvlJc w:val="left"/>
      <w:pPr>
        <w:ind w:left="720" w:hanging="360"/>
      </w:pPr>
    </w:lvl>
    <w:lvl w:ilvl="1" w:tplc="62EC591C" w:tentative="1">
      <w:start w:val="1"/>
      <w:numFmt w:val="lowerLetter"/>
      <w:lvlText w:val="%2."/>
      <w:lvlJc w:val="left"/>
      <w:pPr>
        <w:ind w:left="1440" w:hanging="360"/>
      </w:pPr>
    </w:lvl>
    <w:lvl w:ilvl="2" w:tplc="04102B54" w:tentative="1">
      <w:start w:val="1"/>
      <w:numFmt w:val="lowerRoman"/>
      <w:lvlText w:val="%3."/>
      <w:lvlJc w:val="right"/>
      <w:pPr>
        <w:ind w:left="2160" w:hanging="180"/>
      </w:pPr>
    </w:lvl>
    <w:lvl w:ilvl="3" w:tplc="922C0658" w:tentative="1">
      <w:start w:val="1"/>
      <w:numFmt w:val="decimal"/>
      <w:lvlText w:val="%4."/>
      <w:lvlJc w:val="left"/>
      <w:pPr>
        <w:ind w:left="2880" w:hanging="360"/>
      </w:pPr>
    </w:lvl>
    <w:lvl w:ilvl="4" w:tplc="B0DA2576" w:tentative="1">
      <w:start w:val="1"/>
      <w:numFmt w:val="lowerLetter"/>
      <w:lvlText w:val="%5."/>
      <w:lvlJc w:val="left"/>
      <w:pPr>
        <w:ind w:left="3600" w:hanging="360"/>
      </w:pPr>
    </w:lvl>
    <w:lvl w:ilvl="5" w:tplc="7E74B608" w:tentative="1">
      <w:start w:val="1"/>
      <w:numFmt w:val="lowerRoman"/>
      <w:lvlText w:val="%6."/>
      <w:lvlJc w:val="right"/>
      <w:pPr>
        <w:ind w:left="4320" w:hanging="180"/>
      </w:pPr>
    </w:lvl>
    <w:lvl w:ilvl="6" w:tplc="E9367A72" w:tentative="1">
      <w:start w:val="1"/>
      <w:numFmt w:val="decimal"/>
      <w:lvlText w:val="%7."/>
      <w:lvlJc w:val="left"/>
      <w:pPr>
        <w:ind w:left="5040" w:hanging="360"/>
      </w:pPr>
    </w:lvl>
    <w:lvl w:ilvl="7" w:tplc="01209AA4" w:tentative="1">
      <w:start w:val="1"/>
      <w:numFmt w:val="lowerLetter"/>
      <w:lvlText w:val="%8."/>
      <w:lvlJc w:val="left"/>
      <w:pPr>
        <w:ind w:left="5760" w:hanging="360"/>
      </w:pPr>
    </w:lvl>
    <w:lvl w:ilvl="8" w:tplc="FAF2A4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5783C"/>
    <w:multiLevelType w:val="hybridMultilevel"/>
    <w:tmpl w:val="DCAE8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F6E66"/>
    <w:multiLevelType w:val="multilevel"/>
    <w:tmpl w:val="7CF686C2"/>
    <w:lvl w:ilvl="0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4B1413A3"/>
    <w:multiLevelType w:val="hybridMultilevel"/>
    <w:tmpl w:val="305E0B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14BC"/>
    <w:multiLevelType w:val="hybridMultilevel"/>
    <w:tmpl w:val="6904256A"/>
    <w:lvl w:ilvl="0" w:tplc="1CB49276">
      <w:start w:val="1"/>
      <w:numFmt w:val="decimal"/>
      <w:lvlText w:val="%1."/>
      <w:lvlJc w:val="left"/>
      <w:pPr>
        <w:ind w:left="720" w:hanging="360"/>
      </w:pPr>
    </w:lvl>
    <w:lvl w:ilvl="1" w:tplc="25581D00" w:tentative="1">
      <w:start w:val="1"/>
      <w:numFmt w:val="lowerLetter"/>
      <w:lvlText w:val="%2."/>
      <w:lvlJc w:val="left"/>
      <w:pPr>
        <w:ind w:left="1440" w:hanging="360"/>
      </w:pPr>
    </w:lvl>
    <w:lvl w:ilvl="2" w:tplc="01427FF0" w:tentative="1">
      <w:start w:val="1"/>
      <w:numFmt w:val="lowerRoman"/>
      <w:lvlText w:val="%3."/>
      <w:lvlJc w:val="right"/>
      <w:pPr>
        <w:ind w:left="2160" w:hanging="180"/>
      </w:pPr>
    </w:lvl>
    <w:lvl w:ilvl="3" w:tplc="AB348C76" w:tentative="1">
      <w:start w:val="1"/>
      <w:numFmt w:val="decimal"/>
      <w:lvlText w:val="%4."/>
      <w:lvlJc w:val="left"/>
      <w:pPr>
        <w:ind w:left="2880" w:hanging="360"/>
      </w:pPr>
    </w:lvl>
    <w:lvl w:ilvl="4" w:tplc="124A1578" w:tentative="1">
      <w:start w:val="1"/>
      <w:numFmt w:val="lowerLetter"/>
      <w:lvlText w:val="%5."/>
      <w:lvlJc w:val="left"/>
      <w:pPr>
        <w:ind w:left="3600" w:hanging="360"/>
      </w:pPr>
    </w:lvl>
    <w:lvl w:ilvl="5" w:tplc="082A8800" w:tentative="1">
      <w:start w:val="1"/>
      <w:numFmt w:val="lowerRoman"/>
      <w:lvlText w:val="%6."/>
      <w:lvlJc w:val="right"/>
      <w:pPr>
        <w:ind w:left="4320" w:hanging="180"/>
      </w:pPr>
    </w:lvl>
    <w:lvl w:ilvl="6" w:tplc="04A44D38" w:tentative="1">
      <w:start w:val="1"/>
      <w:numFmt w:val="decimal"/>
      <w:lvlText w:val="%7."/>
      <w:lvlJc w:val="left"/>
      <w:pPr>
        <w:ind w:left="5040" w:hanging="360"/>
      </w:pPr>
    </w:lvl>
    <w:lvl w:ilvl="7" w:tplc="B5F27AD8" w:tentative="1">
      <w:start w:val="1"/>
      <w:numFmt w:val="lowerLetter"/>
      <w:lvlText w:val="%8."/>
      <w:lvlJc w:val="left"/>
      <w:pPr>
        <w:ind w:left="5760" w:hanging="360"/>
      </w:pPr>
    </w:lvl>
    <w:lvl w:ilvl="8" w:tplc="2B5856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8F27B5"/>
    <w:multiLevelType w:val="multilevel"/>
    <w:tmpl w:val="CEFAE8AA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15" w15:restartNumberingAfterBreak="0">
    <w:nsid w:val="6DDB2E98"/>
    <w:multiLevelType w:val="multilevel"/>
    <w:tmpl w:val="D0107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717D20B4"/>
    <w:multiLevelType w:val="hybridMultilevel"/>
    <w:tmpl w:val="902A0714"/>
    <w:lvl w:ilvl="0" w:tplc="F99EA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E2E8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4A33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0C1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7ABD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268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D89D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5E6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A7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824EC9"/>
    <w:multiLevelType w:val="hybridMultilevel"/>
    <w:tmpl w:val="73284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11AEC"/>
    <w:multiLevelType w:val="hybridMultilevel"/>
    <w:tmpl w:val="096498AC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50BD8"/>
    <w:multiLevelType w:val="hybridMultilevel"/>
    <w:tmpl w:val="12E08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728241">
    <w:abstractNumId w:val="17"/>
  </w:num>
  <w:num w:numId="2" w16cid:durableId="117996155">
    <w:abstractNumId w:val="13"/>
  </w:num>
  <w:num w:numId="3" w16cid:durableId="2093774120">
    <w:abstractNumId w:val="9"/>
  </w:num>
  <w:num w:numId="4" w16cid:durableId="1653095452">
    <w:abstractNumId w:val="10"/>
  </w:num>
  <w:num w:numId="5" w16cid:durableId="1075400120">
    <w:abstractNumId w:val="18"/>
  </w:num>
  <w:num w:numId="6" w16cid:durableId="966816769">
    <w:abstractNumId w:val="11"/>
  </w:num>
  <w:num w:numId="7" w16cid:durableId="2108429679">
    <w:abstractNumId w:val="16"/>
  </w:num>
  <w:num w:numId="8" w16cid:durableId="828711892">
    <w:abstractNumId w:val="14"/>
  </w:num>
  <w:num w:numId="9" w16cid:durableId="1959069113">
    <w:abstractNumId w:val="15"/>
  </w:num>
  <w:num w:numId="10" w16cid:durableId="528950998">
    <w:abstractNumId w:val="8"/>
  </w:num>
  <w:num w:numId="11" w16cid:durableId="1889605625">
    <w:abstractNumId w:val="7"/>
  </w:num>
  <w:num w:numId="12" w16cid:durableId="1912303861">
    <w:abstractNumId w:val="6"/>
  </w:num>
  <w:num w:numId="13" w16cid:durableId="1384596461">
    <w:abstractNumId w:val="5"/>
  </w:num>
  <w:num w:numId="14" w16cid:durableId="2015298484">
    <w:abstractNumId w:val="4"/>
  </w:num>
  <w:num w:numId="15" w16cid:durableId="899556150">
    <w:abstractNumId w:val="3"/>
  </w:num>
  <w:num w:numId="16" w16cid:durableId="668866254">
    <w:abstractNumId w:val="2"/>
  </w:num>
  <w:num w:numId="17" w16cid:durableId="1724985893">
    <w:abstractNumId w:val="1"/>
  </w:num>
  <w:num w:numId="18" w16cid:durableId="752550928">
    <w:abstractNumId w:val="0"/>
  </w:num>
  <w:num w:numId="19" w16cid:durableId="162357067">
    <w:abstractNumId w:val="19"/>
  </w:num>
  <w:num w:numId="20" w16cid:durableId="16002139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Y1sDCyNDIyMTM0szRX0lEKTi0uzszPAykwqwUAeaNWCSwAAAA="/>
  </w:docVars>
  <w:rsids>
    <w:rsidRoot w:val="00B5506A"/>
    <w:rsid w:val="00007281"/>
    <w:rsid w:val="000A1755"/>
    <w:rsid w:val="000F568B"/>
    <w:rsid w:val="000F614E"/>
    <w:rsid w:val="001145CE"/>
    <w:rsid w:val="001636D2"/>
    <w:rsid w:val="001A1779"/>
    <w:rsid w:val="001B7CE9"/>
    <w:rsid w:val="002122A7"/>
    <w:rsid w:val="002267AC"/>
    <w:rsid w:val="0022692D"/>
    <w:rsid w:val="002352DF"/>
    <w:rsid w:val="00245949"/>
    <w:rsid w:val="00255412"/>
    <w:rsid w:val="002A59FD"/>
    <w:rsid w:val="002B4DA5"/>
    <w:rsid w:val="002C0F65"/>
    <w:rsid w:val="002C6B42"/>
    <w:rsid w:val="002E1330"/>
    <w:rsid w:val="00323BC9"/>
    <w:rsid w:val="003817E6"/>
    <w:rsid w:val="003A73B9"/>
    <w:rsid w:val="003A743B"/>
    <w:rsid w:val="003A7EC5"/>
    <w:rsid w:val="003B4037"/>
    <w:rsid w:val="003C65C9"/>
    <w:rsid w:val="003D6FA2"/>
    <w:rsid w:val="003E1973"/>
    <w:rsid w:val="00425725"/>
    <w:rsid w:val="00436E38"/>
    <w:rsid w:val="0043738A"/>
    <w:rsid w:val="004657D5"/>
    <w:rsid w:val="00473E2D"/>
    <w:rsid w:val="004D1F97"/>
    <w:rsid w:val="004F56B8"/>
    <w:rsid w:val="005243DE"/>
    <w:rsid w:val="0052763B"/>
    <w:rsid w:val="00550DB3"/>
    <w:rsid w:val="00553949"/>
    <w:rsid w:val="005C746D"/>
    <w:rsid w:val="00600A48"/>
    <w:rsid w:val="00603CB7"/>
    <w:rsid w:val="0062546D"/>
    <w:rsid w:val="00640848"/>
    <w:rsid w:val="006938C3"/>
    <w:rsid w:val="006C151B"/>
    <w:rsid w:val="006D1E92"/>
    <w:rsid w:val="00711643"/>
    <w:rsid w:val="007130D6"/>
    <w:rsid w:val="00761FA8"/>
    <w:rsid w:val="0077229B"/>
    <w:rsid w:val="007A46E1"/>
    <w:rsid w:val="007B0777"/>
    <w:rsid w:val="007B7780"/>
    <w:rsid w:val="007C51B6"/>
    <w:rsid w:val="008B2FE1"/>
    <w:rsid w:val="008E0400"/>
    <w:rsid w:val="008E7488"/>
    <w:rsid w:val="008F3E53"/>
    <w:rsid w:val="00937FDD"/>
    <w:rsid w:val="009A16AC"/>
    <w:rsid w:val="009A4D48"/>
    <w:rsid w:val="009B19EE"/>
    <w:rsid w:val="009D5C31"/>
    <w:rsid w:val="009E040B"/>
    <w:rsid w:val="009E1D07"/>
    <w:rsid w:val="009F443B"/>
    <w:rsid w:val="00A323FE"/>
    <w:rsid w:val="00AB1C62"/>
    <w:rsid w:val="00B52876"/>
    <w:rsid w:val="00B5506A"/>
    <w:rsid w:val="00B5591D"/>
    <w:rsid w:val="00B55A80"/>
    <w:rsid w:val="00B968D6"/>
    <w:rsid w:val="00B9772D"/>
    <w:rsid w:val="00BA36E6"/>
    <w:rsid w:val="00BA7DBE"/>
    <w:rsid w:val="00BF118D"/>
    <w:rsid w:val="00BF79BD"/>
    <w:rsid w:val="00C04CE2"/>
    <w:rsid w:val="00C05765"/>
    <w:rsid w:val="00C11B97"/>
    <w:rsid w:val="00CA6687"/>
    <w:rsid w:val="00CB6BCC"/>
    <w:rsid w:val="00CE3703"/>
    <w:rsid w:val="00CF774D"/>
    <w:rsid w:val="00D06588"/>
    <w:rsid w:val="00D21EAF"/>
    <w:rsid w:val="00E115FD"/>
    <w:rsid w:val="00E5288E"/>
    <w:rsid w:val="00E5719E"/>
    <w:rsid w:val="00E60569"/>
    <w:rsid w:val="00E8371B"/>
    <w:rsid w:val="00E84FA9"/>
    <w:rsid w:val="00EA064E"/>
    <w:rsid w:val="00EA2394"/>
    <w:rsid w:val="00EB068E"/>
    <w:rsid w:val="00EC4B79"/>
    <w:rsid w:val="00ED47A1"/>
    <w:rsid w:val="00F21CE3"/>
    <w:rsid w:val="00F82512"/>
    <w:rsid w:val="00F853EC"/>
    <w:rsid w:val="00F8781A"/>
    <w:rsid w:val="00F90227"/>
    <w:rsid w:val="00FB3A7A"/>
    <w:rsid w:val="00FE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472D9"/>
  <w15:chartTrackingRefBased/>
  <w15:docId w15:val="{77038A6D-3EB2-4E91-821C-40996080E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6BCC"/>
    <w:rPr>
      <w:rFonts w:ascii="Palatino Linotype" w:hAnsi="Palatino Linotype"/>
    </w:rPr>
  </w:style>
  <w:style w:type="paragraph" w:styleId="Heading1">
    <w:name w:val="heading 1"/>
    <w:basedOn w:val="Normal"/>
    <w:next w:val="Normal"/>
    <w:link w:val="Heading1Char"/>
    <w:uiPriority w:val="2"/>
    <w:qFormat/>
    <w:rsid w:val="008E0400"/>
    <w:pPr>
      <w:keepNext/>
      <w:keepLines/>
      <w:pBdr>
        <w:bottom w:val="single" w:sz="12" w:space="1" w:color="414042"/>
      </w:pBdr>
      <w:suppressAutoHyphens/>
      <w:spacing w:before="240"/>
      <w:outlineLvl w:val="0"/>
    </w:pPr>
    <w:rPr>
      <w:rFonts w:ascii="Lucida Sans" w:eastAsiaTheme="majorEastAsia" w:hAnsi="Lucida Sans" w:cstheme="majorBidi"/>
      <w:b/>
      <w:bCs/>
      <w:color w:val="000000" w:themeColor="text1"/>
      <w:sz w:val="28"/>
      <w:szCs w:val="26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4657D5"/>
    <w:pPr>
      <w:suppressAutoHyphens/>
      <w:spacing w:before="240"/>
      <w:outlineLvl w:val="1"/>
    </w:pPr>
    <w:rPr>
      <w:rFonts w:ascii="Lucida Sans" w:hAnsi="Lucida Sans"/>
      <w:b/>
      <w:sz w:val="27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4657D5"/>
    <w:pPr>
      <w:suppressAutoHyphens/>
      <w:spacing w:before="240"/>
      <w:outlineLvl w:val="2"/>
    </w:pPr>
    <w:rPr>
      <w:rFonts w:ascii="Lucida Sans" w:hAnsi="Lucida Sans"/>
      <w:b/>
      <w:i/>
      <w:sz w:val="24"/>
    </w:rPr>
  </w:style>
  <w:style w:type="paragraph" w:styleId="Heading4">
    <w:name w:val="heading 4"/>
    <w:basedOn w:val="Normal"/>
    <w:next w:val="Normal"/>
    <w:link w:val="Heading4Char"/>
    <w:uiPriority w:val="5"/>
    <w:unhideWhenUsed/>
    <w:qFormat/>
    <w:rsid w:val="009A4D48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0569"/>
    <w:pPr>
      <w:tabs>
        <w:tab w:val="center" w:pos="5040"/>
        <w:tab w:val="right" w:pos="10080"/>
      </w:tabs>
      <w:spacing w:before="120"/>
      <w:contextualSpacing/>
      <w:jc w:val="right"/>
    </w:pPr>
    <w:rPr>
      <w:rFonts w:ascii="Lucida Sans" w:hAnsi="Lucida Sans"/>
      <w:b/>
      <w:color w:val="00395D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60569"/>
    <w:rPr>
      <w:rFonts w:ascii="Lucida Sans" w:hAnsi="Lucida Sans"/>
      <w:b/>
      <w:color w:val="00395D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0569"/>
    <w:pPr>
      <w:tabs>
        <w:tab w:val="center" w:pos="4680"/>
        <w:tab w:val="right" w:pos="10080"/>
      </w:tabs>
      <w:spacing w:after="0" w:line="240" w:lineRule="auto"/>
    </w:pPr>
    <w:rPr>
      <w:rFonts w:ascii="Lucida Sans" w:hAnsi="Lucida Sans"/>
      <w:b/>
      <w:noProof/>
      <w:color w:val="00395D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60569"/>
    <w:rPr>
      <w:rFonts w:ascii="Lucida Sans" w:hAnsi="Lucida Sans"/>
      <w:b/>
      <w:noProof/>
      <w:color w:val="00395D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8E0400"/>
    <w:rPr>
      <w:rFonts w:ascii="Lucida Sans" w:eastAsiaTheme="majorEastAsia" w:hAnsi="Lucida Sans" w:cstheme="majorBidi"/>
      <w:b/>
      <w:bCs/>
      <w:color w:val="000000" w:themeColor="text1"/>
      <w:sz w:val="28"/>
      <w:szCs w:val="26"/>
    </w:rPr>
  </w:style>
  <w:style w:type="character" w:styleId="Hyperlink">
    <w:name w:val="Hyperlink"/>
    <w:basedOn w:val="DefaultParagraphFont"/>
    <w:uiPriority w:val="99"/>
    <w:unhideWhenUsed/>
    <w:rsid w:val="00323B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7"/>
    <w:qFormat/>
    <w:rsid w:val="002E1330"/>
    <w:pPr>
      <w:numPr>
        <w:numId w:val="6"/>
      </w:numPr>
      <w:suppressAutoHyphens/>
      <w:spacing w:before="1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D1F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1F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1F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F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F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F97"/>
    <w:rPr>
      <w:rFonts w:ascii="Segoe UI" w:hAnsi="Segoe UI" w:cs="Segoe UI"/>
      <w:sz w:val="18"/>
      <w:szCs w:val="18"/>
    </w:rPr>
  </w:style>
  <w:style w:type="paragraph" w:styleId="Title">
    <w:name w:val="Title"/>
    <w:basedOn w:val="Header"/>
    <w:next w:val="Normal"/>
    <w:link w:val="TitleChar"/>
    <w:uiPriority w:val="10"/>
    <w:rsid w:val="009A4D48"/>
    <w:pPr>
      <w:spacing w:after="60"/>
    </w:pPr>
    <w:rPr>
      <w:b w:val="0"/>
    </w:rPr>
  </w:style>
  <w:style w:type="character" w:customStyle="1" w:styleId="TitleChar">
    <w:name w:val="Title Char"/>
    <w:basedOn w:val="DefaultParagraphFont"/>
    <w:link w:val="Title"/>
    <w:uiPriority w:val="10"/>
    <w:rsid w:val="009A4D48"/>
    <w:rPr>
      <w:rFonts w:ascii="Lucida Sans" w:hAnsi="Lucida Sans"/>
      <w:b/>
      <w:color w:val="00395D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3"/>
    <w:rsid w:val="004657D5"/>
    <w:rPr>
      <w:rFonts w:ascii="Lucida Sans" w:hAnsi="Lucida Sans"/>
      <w:b/>
      <w:sz w:val="27"/>
    </w:rPr>
  </w:style>
  <w:style w:type="character" w:customStyle="1" w:styleId="Heading3Char">
    <w:name w:val="Heading 3 Char"/>
    <w:basedOn w:val="DefaultParagraphFont"/>
    <w:link w:val="Heading3"/>
    <w:uiPriority w:val="4"/>
    <w:rsid w:val="004657D5"/>
    <w:rPr>
      <w:rFonts w:ascii="Lucida Sans" w:hAnsi="Lucida Sans"/>
      <w:b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5"/>
    <w:rsid w:val="007A46E1"/>
    <w:rPr>
      <w:rFonts w:asciiTheme="majorHAnsi" w:eastAsiaTheme="majorEastAsia" w:hAnsiTheme="majorHAnsi" w:cstheme="majorBidi"/>
      <w:i/>
      <w:iCs/>
      <w:color w:val="000000" w:themeColor="text1"/>
    </w:rPr>
  </w:style>
  <w:style w:type="paragraph" w:customStyle="1" w:styleId="FooterPG1">
    <w:name w:val="Footer PG1"/>
    <w:basedOn w:val="Normal"/>
    <w:link w:val="FooterPG1Char"/>
    <w:rsid w:val="00E60569"/>
    <w:pPr>
      <w:spacing w:after="0" w:line="240" w:lineRule="auto"/>
      <w:jc w:val="center"/>
    </w:pPr>
    <w:rPr>
      <w:rFonts w:ascii="Lucida Sans" w:hAnsi="Lucida Sans"/>
      <w:spacing w:val="20"/>
      <w:sz w:val="24"/>
      <w:szCs w:val="24"/>
    </w:rPr>
  </w:style>
  <w:style w:type="character" w:customStyle="1" w:styleId="FooterPG1Char">
    <w:name w:val="Footer PG1 Char"/>
    <w:basedOn w:val="DefaultParagraphFont"/>
    <w:link w:val="FooterPG1"/>
    <w:rsid w:val="00E60569"/>
    <w:rPr>
      <w:rFonts w:ascii="Lucida Sans" w:hAnsi="Lucida Sans"/>
      <w:spacing w:val="20"/>
      <w:sz w:val="24"/>
      <w:szCs w:val="24"/>
    </w:rPr>
  </w:style>
  <w:style w:type="table" w:styleId="TableGrid">
    <w:name w:val="Table Grid"/>
    <w:basedOn w:val="TableNormal"/>
    <w:uiPriority w:val="39"/>
    <w:rsid w:val="009E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1">
    <w:name w:val="List Table 3 Accent 1"/>
    <w:basedOn w:val="TableNormal"/>
    <w:uiPriority w:val="48"/>
    <w:rsid w:val="009E1D07"/>
    <w:pPr>
      <w:spacing w:after="0" w:line="240" w:lineRule="auto"/>
    </w:pPr>
    <w:tblPr>
      <w:tblStyleRowBandSize w:val="1"/>
      <w:tblStyleColBandSize w:val="1"/>
      <w:tblBorders>
        <w:top w:val="single" w:sz="4" w:space="0" w:color="005172" w:themeColor="accent1"/>
        <w:left w:val="single" w:sz="4" w:space="0" w:color="005172" w:themeColor="accent1"/>
        <w:bottom w:val="single" w:sz="4" w:space="0" w:color="005172" w:themeColor="accent1"/>
        <w:right w:val="single" w:sz="4" w:space="0" w:color="00517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172" w:themeFill="accent1"/>
      </w:tcPr>
    </w:tblStylePr>
    <w:tblStylePr w:type="lastRow">
      <w:rPr>
        <w:b/>
        <w:bCs/>
      </w:rPr>
      <w:tblPr/>
      <w:tcPr>
        <w:tcBorders>
          <w:top w:val="double" w:sz="4" w:space="0" w:color="00517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172" w:themeColor="accent1"/>
          <w:right w:val="single" w:sz="4" w:space="0" w:color="005172" w:themeColor="accent1"/>
        </w:tcBorders>
      </w:tcPr>
    </w:tblStylePr>
    <w:tblStylePr w:type="band1Horz">
      <w:tblPr/>
      <w:tcPr>
        <w:tcBorders>
          <w:top w:val="single" w:sz="4" w:space="0" w:color="005172" w:themeColor="accent1"/>
          <w:bottom w:val="single" w:sz="4" w:space="0" w:color="00517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172" w:themeColor="accent1"/>
          <w:left w:val="nil"/>
        </w:tcBorders>
      </w:tcPr>
    </w:tblStylePr>
    <w:tblStylePr w:type="swCell">
      <w:tblPr/>
      <w:tcPr>
        <w:tcBorders>
          <w:top w:val="double" w:sz="4" w:space="0" w:color="005172" w:themeColor="accen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6D1E9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Bullet">
    <w:name w:val="List Bullet"/>
    <w:basedOn w:val="Normal"/>
    <w:uiPriority w:val="6"/>
    <w:qFormat/>
    <w:rsid w:val="002E1330"/>
    <w:pPr>
      <w:numPr>
        <w:numId w:val="8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B55A80"/>
    <w:pPr>
      <w:numPr>
        <w:numId w:val="10"/>
      </w:numPr>
      <w:suppressAutoHyphens/>
      <w:spacing w:before="120"/>
      <w:ind w:left="720"/>
      <w:contextualSpacing/>
    </w:pPr>
    <w:rPr>
      <w:rFonts w:asciiTheme="minorHAnsi" w:hAnsiTheme="minorHAns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9772D"/>
    <w:pPr>
      <w:suppressAutoHyphens/>
      <w:spacing w:before="120" w:line="240" w:lineRule="auto"/>
      <w:contextualSpacing/>
      <w:jc w:val="center"/>
    </w:pPr>
    <w:rPr>
      <w:rFonts w:asciiTheme="minorHAnsi" w:hAnsiTheme="minorHAnsi"/>
      <w:b/>
      <w:bCs/>
      <w:color w:val="000000" w:themeColor="text1"/>
      <w:sz w:val="20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77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772D"/>
    <w:rPr>
      <w:rFonts w:ascii="Palatino Linotype" w:hAnsi="Palatino Linotype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772D"/>
    <w:rPr>
      <w:vertAlign w:val="superscript"/>
    </w:rPr>
  </w:style>
  <w:style w:type="table" w:styleId="GridTable1Light">
    <w:name w:val="Grid Table 1 Light"/>
    <w:aliases w:val="WECC Table"/>
    <w:basedOn w:val="TableNormal"/>
    <w:uiPriority w:val="46"/>
    <w:rsid w:val="006D1E92"/>
    <w:pPr>
      <w:spacing w:after="0" w:line="240" w:lineRule="auto"/>
    </w:pPr>
    <w:rPr>
      <w:rFonts w:ascii="Palatino Linotype" w:hAnsi="Palatino Linotype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="Lucida Sans" w:hAnsi="Lucida Sans"/>
        <w:b/>
        <w:bCs/>
        <w:i w:val="0"/>
        <w:color w:val="FFFFFF" w:themeColor="background1"/>
        <w:sz w:val="20"/>
      </w:rPr>
      <w:tblPr/>
      <w:tcPr>
        <w:shd w:val="clear" w:color="auto" w:fill="00395D" w:themeFill="text2"/>
      </w:tcPr>
    </w:tblStylePr>
    <w:tblStylePr w:type="lastRow">
      <w:rPr>
        <w:b w:val="0"/>
        <w:bCs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customStyle="1" w:styleId="WECCDefault">
    <w:name w:val="WECC Default"/>
    <w:basedOn w:val="TableNormal"/>
    <w:uiPriority w:val="99"/>
    <w:rsid w:val="001A1779"/>
    <w:pPr>
      <w:spacing w:after="0" w:line="240" w:lineRule="auto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14" w:type="dxa"/>
        <w:left w:w="115" w:type="dxa"/>
        <w:bottom w:w="14" w:type="dxa"/>
        <w:right w:w="115" w:type="dxa"/>
      </w:tcMar>
    </w:tcPr>
    <w:tblStylePr w:type="firstRow">
      <w:pPr>
        <w:jc w:val="left"/>
      </w:pPr>
      <w:rPr>
        <w:rFonts w:ascii="Lucida Sans" w:hAnsi="Lucida Sans"/>
        <w:b/>
        <w:sz w:val="22"/>
      </w:rPr>
      <w:tblPr/>
      <w:tcPr>
        <w:tcBorders>
          <w:top w:val="single" w:sz="4" w:space="0" w:color="666666" w:themeColor="accent5"/>
          <w:left w:val="single" w:sz="4" w:space="0" w:color="666666" w:themeColor="accent5"/>
          <w:bottom w:val="single" w:sz="4" w:space="0" w:color="666666" w:themeColor="accent5"/>
          <w:right w:val="single" w:sz="4" w:space="0" w:color="666666" w:themeColor="accent5"/>
          <w:insideH w:val="single" w:sz="4" w:space="0" w:color="666666" w:themeColor="accent5"/>
          <w:insideV w:val="single" w:sz="4" w:space="0" w:color="666666" w:themeColor="accent5"/>
        </w:tcBorders>
        <w:shd w:val="clear" w:color="auto" w:fill="00395D" w:themeFill="text2"/>
      </w:tcPr>
    </w:tblStylePr>
    <w:tblStylePr w:type="band2Horz">
      <w:tblPr/>
      <w:tcPr>
        <w:shd w:val="clear" w:color="auto" w:fill="E0E0E0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BasicDocument.dotx" TargetMode="External"/></Relationships>
</file>

<file path=word/theme/theme1.xml><?xml version="1.0" encoding="utf-8"?>
<a:theme xmlns:a="http://schemas.openxmlformats.org/drawingml/2006/main" name="WECC Word Theme">
  <a:themeElements>
    <a:clrScheme name="WECC Palette">
      <a:dk1>
        <a:srgbClr val="000000"/>
      </a:dk1>
      <a:lt1>
        <a:srgbClr val="FFFFFF"/>
      </a:lt1>
      <a:dk2>
        <a:srgbClr val="00395D"/>
      </a:dk2>
      <a:lt2>
        <a:srgbClr val="A99260"/>
      </a:lt2>
      <a:accent1>
        <a:srgbClr val="005172"/>
      </a:accent1>
      <a:accent2>
        <a:srgbClr val="005238"/>
      </a:accent2>
      <a:accent3>
        <a:srgbClr val="6D2D41"/>
      </a:accent3>
      <a:accent4>
        <a:srgbClr val="B53713"/>
      </a:accent4>
      <a:accent5>
        <a:srgbClr val="666666"/>
      </a:accent5>
      <a:accent6>
        <a:srgbClr val="A71930"/>
      </a:accent6>
      <a:hlink>
        <a:srgbClr val="0000FF"/>
      </a:hlink>
      <a:folHlink>
        <a:srgbClr val="800080"/>
      </a:folHlink>
    </a:clrScheme>
    <a:fontScheme name="WECC Fonts">
      <a:majorFont>
        <a:latin typeface="Lucida Sans"/>
        <a:ea typeface=""/>
        <a:cs typeface=""/>
      </a:majorFont>
      <a:minorFont>
        <a:latin typeface="Palatino Linoty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1F9DAF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EB8D720-DB71-400C-BAAF-CCA315420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BasicDocument.dotx</Template>
  <TotalTime>801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Butikofer, Tyler</dc:creator>
  <cp:keywords/>
  <dc:description/>
  <cp:lastModifiedBy>Butikofer, Tyler</cp:lastModifiedBy>
  <cp:revision>18</cp:revision>
  <cp:lastPrinted>2019-01-04T22:00:00Z</cp:lastPrinted>
  <dcterms:created xsi:type="dcterms:W3CDTF">2022-10-18T21:19:00Z</dcterms:created>
  <dcterms:modified xsi:type="dcterms:W3CDTF">2022-11-15T22:10:00Z</dcterms:modified>
</cp:coreProperties>
</file>