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3416ADC9" w:rsidR="00323BC9" w:rsidRDefault="0053685B" w:rsidP="00E60569">
      <w:pPr>
        <w:pStyle w:val="Heading1"/>
      </w:pPr>
      <w:r>
        <w:t xml:space="preserve">Posting </w:t>
      </w:r>
      <w:r w:rsidR="00F26F13">
        <w:t>3</w:t>
      </w:r>
    </w:p>
    <w:p w14:paraId="04529282" w14:textId="77777777" w:rsidR="0053685B" w:rsidRDefault="0053685B" w:rsidP="0053685B">
      <w:pPr>
        <w:pStyle w:val="Heading2"/>
      </w:pPr>
      <w:r>
        <w:t>Posting</w:t>
      </w:r>
    </w:p>
    <w:p w14:paraId="70E32AD8" w14:textId="043CE569" w:rsidR="004B411E" w:rsidRDefault="0094025E" w:rsidP="00E8649E">
      <w:bookmarkStart w:id="0" w:name="_Hlk17896249"/>
      <w:r>
        <w:t>Th</w:t>
      </w:r>
      <w:r w:rsidR="00A27E3A">
        <w:t xml:space="preserve">is project was posted </w:t>
      </w:r>
      <w:r>
        <w:t>for comment from</w:t>
      </w:r>
      <w:r w:rsidR="00A27E3A">
        <w:t xml:space="preserve"> </w:t>
      </w:r>
      <w:r w:rsidR="00F26F13">
        <w:t xml:space="preserve">January 26, 2024, through February 26, 2024. </w:t>
      </w:r>
      <w:r w:rsidR="004B411E">
        <w:t xml:space="preserve"> </w:t>
      </w:r>
    </w:p>
    <w:p w14:paraId="6D06B29D" w14:textId="52909013" w:rsidR="00807773" w:rsidRDefault="0053685B" w:rsidP="00E8649E">
      <w:r w:rsidRPr="00BC2F0F">
        <w:t xml:space="preserve">WECC distributed notice for the </w:t>
      </w:r>
      <w:r w:rsidR="00DE4285" w:rsidRPr="00BC2F0F">
        <w:t xml:space="preserve">posting on </w:t>
      </w:r>
      <w:r w:rsidR="00F26F13">
        <w:t xml:space="preserve">January 25, 2024.  </w:t>
      </w:r>
      <w:r w:rsidRPr="00BC2F0F">
        <w:t xml:space="preserve">The </w:t>
      </w:r>
      <w:r w:rsidR="00AA6BF2">
        <w:t>WECC-01</w:t>
      </w:r>
      <w:r w:rsidR="00BE049C">
        <w:t xml:space="preserve">53 INT Consolidated criterion (ICC) Drafting Team (DT) </w:t>
      </w:r>
      <w:r w:rsidRPr="00BC2F0F">
        <w:t>asked stakeholders to provide feedback on the proposed document</w:t>
      </w:r>
      <w:r w:rsidR="008D7432" w:rsidRPr="00BC2F0F">
        <w:t>(</w:t>
      </w:r>
      <w:r w:rsidR="00B437B5" w:rsidRPr="00BC2F0F">
        <w:t>s</w:t>
      </w:r>
      <w:r w:rsidR="008D7432" w:rsidRPr="00BC2F0F">
        <w:t>)</w:t>
      </w:r>
      <w:r w:rsidRPr="00BC2F0F">
        <w:t xml:space="preserve"> through a standardized </w:t>
      </w:r>
      <w:r w:rsidR="003E4CC0" w:rsidRPr="00BC2F0F">
        <w:t>WECC-provided web portal.</w:t>
      </w:r>
      <w:r w:rsidR="00216976">
        <w:t xml:space="preserve"> </w:t>
      </w:r>
    </w:p>
    <w:p w14:paraId="0F1A4096" w14:textId="3A7D684D" w:rsidR="00AA6BF2" w:rsidRDefault="00BE049C" w:rsidP="00E8649E">
      <w:r w:rsidRPr="0046271C">
        <w:t>T</w:t>
      </w:r>
      <w:r w:rsidR="00F7757C" w:rsidRPr="0046271C">
        <w:t xml:space="preserve">wo </w:t>
      </w:r>
      <w:r w:rsidR="00AA6BF2" w:rsidRPr="0046271C">
        <w:t>comment</w:t>
      </w:r>
      <w:r w:rsidRPr="0046271C">
        <w:t>s</w:t>
      </w:r>
      <w:r w:rsidR="004576EC" w:rsidRPr="0046271C">
        <w:t xml:space="preserve"> </w:t>
      </w:r>
      <w:r w:rsidRPr="0046271C">
        <w:t xml:space="preserve">were </w:t>
      </w:r>
      <w:r w:rsidR="004576EC" w:rsidRPr="0046271C">
        <w:t>received.</w:t>
      </w:r>
      <w:r w:rsidR="00F7757C" w:rsidRPr="0046271C">
        <w:t xml:space="preserve">  Neither requested changes to the project.</w:t>
      </w:r>
      <w:r w:rsidR="00F7757C">
        <w:t xml:space="preserve"> </w:t>
      </w:r>
      <w:r w:rsidR="007C4454">
        <w:t xml:space="preserve"> </w:t>
      </w:r>
    </w:p>
    <w:p w14:paraId="4344AC0E" w14:textId="77777777" w:rsidR="0053685B" w:rsidRDefault="0053685B" w:rsidP="0053685B">
      <w:pPr>
        <w:pStyle w:val="Heading2"/>
      </w:pPr>
      <w:r>
        <w:t>Location of Comments</w:t>
      </w:r>
    </w:p>
    <w:p w14:paraId="3C8977EB" w14:textId="0B79878A" w:rsidR="0053685B" w:rsidRDefault="00A27E3A" w:rsidP="00E8649E">
      <w:r>
        <w:t xml:space="preserve">Comments can </w:t>
      </w:r>
      <w:r w:rsidR="00FF343F">
        <w:t xml:space="preserve">be </w:t>
      </w:r>
      <w:r w:rsidR="0053685B">
        <w:t>viewed in their original format on the</w:t>
      </w:r>
      <w:r w:rsidR="00BE049C">
        <w:t xml:space="preserve"> </w:t>
      </w:r>
      <w:hyperlink r:id="rId11" w:history="1">
        <w:r w:rsidR="00BE049C">
          <w:rPr>
            <w:rStyle w:val="Hyperlink"/>
          </w:rPr>
          <w:t xml:space="preserve">WECC-0153 </w:t>
        </w:r>
      </w:hyperlink>
      <w:r w:rsidR="0091755C">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62C0436C" w14:textId="26C5ED1D" w:rsidR="008704B7" w:rsidRDefault="00762843" w:rsidP="00936CB8">
      <w:bookmarkStart w:id="1" w:name="_Hlk150434860"/>
      <w:r>
        <w:t>Per the WECC-015</w:t>
      </w:r>
      <w:r w:rsidR="00B3385F">
        <w:t>3</w:t>
      </w:r>
      <w:r>
        <w:t xml:space="preserve"> Standard Authorization Request (SAR), the DT </w:t>
      </w:r>
      <w:r w:rsidR="008704B7">
        <w:t xml:space="preserve">was </w:t>
      </w:r>
      <w:r w:rsidR="00B3385F">
        <w:t xml:space="preserve">asked </w:t>
      </w:r>
      <w:r>
        <w:t>to consider updating the numbering nomenclature of the document.</w:t>
      </w:r>
      <w:r>
        <w:rPr>
          <w:rStyle w:val="FootnoteReference"/>
        </w:rPr>
        <w:footnoteReference w:id="1"/>
      </w:r>
      <w:r w:rsidR="00931FD4">
        <w:t xml:space="preserve">  </w:t>
      </w:r>
      <w:r w:rsidR="008704B7">
        <w:t>The goal of renumbering was to eliminate ambiguity as to the number</w:t>
      </w:r>
      <w:r w:rsidR="009E04A1">
        <w:t xml:space="preserve">ing </w:t>
      </w:r>
      <w:r w:rsidR="008704B7">
        <w:t xml:space="preserve">voids between the ICC sections.  </w:t>
      </w:r>
      <w:r w:rsidR="00931FD4">
        <w:t>After</w:t>
      </w:r>
      <w:r w:rsidR="008704B7">
        <w:t xml:space="preserve"> considering the practical application, re</w:t>
      </w:r>
      <w:r w:rsidR="00931FD4">
        <w:t>numbering was not pursued.</w:t>
      </w:r>
    </w:p>
    <w:p w14:paraId="65EF811B" w14:textId="7B961128" w:rsidR="008704B7" w:rsidRDefault="00931FD4" w:rsidP="00936CB8">
      <w:r>
        <w:t xml:space="preserve">Each INT nomenclature has </w:t>
      </w:r>
      <w:r w:rsidR="008704B7">
        <w:t xml:space="preserve">multiple parts.  </w:t>
      </w:r>
      <w:r>
        <w:t xml:space="preserve">For example, </w:t>
      </w:r>
      <w:r w:rsidR="008704B7">
        <w:t xml:space="preserve">in </w:t>
      </w:r>
      <w:r>
        <w:t>INT-001-WECC-CRT-5, the prefix</w:t>
      </w:r>
      <w:r w:rsidR="008704B7">
        <w:t xml:space="preserve"> (INT-001-WECC-CRT) </w:t>
      </w:r>
      <w:r>
        <w:t xml:space="preserve">indicates content </w:t>
      </w:r>
      <w:r w:rsidR="008704B7">
        <w:t xml:space="preserve">and document type, </w:t>
      </w:r>
      <w:r>
        <w:t xml:space="preserve">whereas the suffix </w:t>
      </w:r>
      <w:r w:rsidR="008704B7">
        <w:t xml:space="preserve">(-5) </w:t>
      </w:r>
      <w:r>
        <w:t>indicates which version is presented.  Although the prefix could be renumbered</w:t>
      </w:r>
      <w:r w:rsidR="008704B7">
        <w:t xml:space="preserve"> sequentially</w:t>
      </w:r>
      <w:r>
        <w:t xml:space="preserve">, if the suffix </w:t>
      </w:r>
      <w:r w:rsidR="00071429">
        <w:t>were</w:t>
      </w:r>
      <w:r>
        <w:t xml:space="preserve"> renumbered starting back at “1”, duplicative document numbers would result.</w:t>
      </w:r>
      <w:r w:rsidR="008704B7">
        <w:t xml:space="preserve">  If the version number for INT-001-WECC-CRT-5 was reset to “1”, that designation would duplicate the 2009 version of the same document.</w:t>
      </w:r>
    </w:p>
    <w:p w14:paraId="706663F5" w14:textId="77777777" w:rsidR="008704B7" w:rsidRDefault="008704B7" w:rsidP="00931FD4">
      <w:r>
        <w:t xml:space="preserve">Rather than renumber with exceptions, the following clarifying language was added to the preamble: </w:t>
      </w:r>
      <w:bookmarkStart w:id="2" w:name="_Hlk161239167"/>
    </w:p>
    <w:p w14:paraId="4199E5DD" w14:textId="354DA1F5" w:rsidR="00931FD4" w:rsidRDefault="00931FD4" w:rsidP="00931FD4">
      <w:r>
        <w:lastRenderedPageBreak/>
        <w:t>“Voids exist in the ICC numbering sequence because sections were previously tied to NERC Standards.  As NERC retire</w:t>
      </w:r>
      <w:r w:rsidR="008704B7">
        <w:t>s</w:t>
      </w:r>
      <w:r>
        <w:t xml:space="preserve"> its INT Standards</w:t>
      </w:r>
      <w:r w:rsidR="008704B7">
        <w:t xml:space="preserve"> and WECC retire</w:t>
      </w:r>
      <w:r w:rsidR="00071429">
        <w:t>s</w:t>
      </w:r>
      <w:r w:rsidR="008704B7">
        <w:t xml:space="preserve"> or reorganize</w:t>
      </w:r>
      <w:r w:rsidR="00071429">
        <w:t>s</w:t>
      </w:r>
      <w:r w:rsidR="008704B7">
        <w:t xml:space="preserve"> its associated documents, numbering voids were created.  These v</w:t>
      </w:r>
      <w:r>
        <w:t xml:space="preserve">oids do not represent missing INT-CRTs.”   </w:t>
      </w:r>
      <w:r w:rsidRPr="002D7431">
        <w:t xml:space="preserve">     </w:t>
      </w:r>
    </w:p>
    <w:bookmarkEnd w:id="2"/>
    <w:bookmarkEnd w:id="1"/>
    <w:p w14:paraId="09695891" w14:textId="60B52016" w:rsidR="0053685B" w:rsidRPr="006501CE" w:rsidRDefault="0053685B" w:rsidP="00EE6712">
      <w:pPr>
        <w:pStyle w:val="Heading2"/>
      </w:pPr>
      <w:r w:rsidRPr="006501CE">
        <w:t>Minority View</w:t>
      </w:r>
    </w:p>
    <w:bookmarkEnd w:id="0"/>
    <w:p w14:paraId="112E9513" w14:textId="77777777" w:rsidR="00C5640A" w:rsidRDefault="00C5640A" w:rsidP="004576EC">
      <w:pPr>
        <w:pStyle w:val="Heading2"/>
        <w:rPr>
          <w:rFonts w:ascii="Palatino Linotype" w:hAnsi="Palatino Linotype"/>
          <w:b w:val="0"/>
          <w:sz w:val="22"/>
        </w:rPr>
      </w:pPr>
      <w:r w:rsidRPr="00C5640A">
        <w:rPr>
          <w:rFonts w:ascii="Palatino Linotype" w:hAnsi="Palatino Linotype"/>
          <w:b w:val="0"/>
          <w:sz w:val="22"/>
        </w:rPr>
        <w:t xml:space="preserve">There was no minority position. </w:t>
      </w:r>
      <w:bookmarkStart w:id="3" w:name="_Hlk151556897"/>
    </w:p>
    <w:p w14:paraId="50E72AB8" w14:textId="4346E0E5" w:rsidR="004576EC" w:rsidRDefault="009564EE" w:rsidP="004576EC">
      <w:pPr>
        <w:pStyle w:val="Heading2"/>
      </w:pPr>
      <w:r>
        <w:t>Implementation Plan</w:t>
      </w:r>
      <w:r w:rsidR="004E2509">
        <w:t>—</w:t>
      </w:r>
      <w:r>
        <w:t>Justification</w:t>
      </w:r>
    </w:p>
    <w:p w14:paraId="3ED02183" w14:textId="0A48CF4B" w:rsidR="009564EE" w:rsidRPr="000A3533" w:rsidRDefault="009564EE" w:rsidP="000A3533">
      <w:pPr>
        <w:pStyle w:val="Normal2"/>
        <w:rPr>
          <w:i/>
          <w:iCs/>
        </w:rPr>
      </w:pPr>
      <w:r w:rsidRPr="000A3533">
        <w:rPr>
          <w:i/>
          <w:iCs/>
        </w:rPr>
        <w:t>Proposed Effective Date</w:t>
      </w:r>
    </w:p>
    <w:p w14:paraId="4F5EA41E" w14:textId="7D68F6C7" w:rsidR="004576EC" w:rsidRDefault="004576EC" w:rsidP="004576EC">
      <w:r>
        <w:t>The proposed effective date is t</w:t>
      </w:r>
      <w:r w:rsidRPr="007138C9">
        <w:t xml:space="preserve">he first day of the second quarter following regulatory approval. </w:t>
      </w:r>
    </w:p>
    <w:p w14:paraId="7CCAF37A" w14:textId="77777777" w:rsidR="004576EC" w:rsidRPr="009564EE" w:rsidRDefault="004576EC" w:rsidP="000A3533">
      <w:pPr>
        <w:pStyle w:val="Normal2"/>
      </w:pPr>
      <w:r w:rsidRPr="000A3533">
        <w:rPr>
          <w:i/>
          <w:iCs/>
        </w:rPr>
        <w:t>Justification</w:t>
      </w:r>
    </w:p>
    <w:p w14:paraId="0CA8FAA7" w14:textId="024255E2" w:rsidR="009564EE" w:rsidRDefault="00C5640A" w:rsidP="004576EC">
      <w:pPr>
        <w:rPr>
          <w:rFonts w:eastAsia="Palatino Linotype" w:cs="Times New Roman"/>
        </w:rPr>
      </w:pPr>
      <w:r>
        <w:t xml:space="preserve">Because the proposed changes to the ICC are minimal, </w:t>
      </w:r>
      <w:r w:rsidR="009564EE">
        <w:rPr>
          <w:rFonts w:eastAsia="Palatino Linotype" w:cs="Times New Roman"/>
        </w:rPr>
        <w:t xml:space="preserve">the ICC can be implemented without undue </w:t>
      </w:r>
      <w:r w:rsidR="00E94DE3">
        <w:rPr>
          <w:rFonts w:eastAsia="Palatino Linotype" w:cs="Times New Roman"/>
        </w:rPr>
        <w:t xml:space="preserve">burden or </w:t>
      </w:r>
      <w:r w:rsidR="009564EE">
        <w:rPr>
          <w:rFonts w:eastAsia="Palatino Linotype" w:cs="Times New Roman"/>
        </w:rPr>
        <w:t>delay.</w:t>
      </w:r>
      <w:r w:rsidR="00E8649E">
        <w:rPr>
          <w:rFonts w:eastAsia="Palatino Linotype" w:cs="Times New Roman"/>
        </w:rPr>
        <w:t xml:space="preserve"> </w:t>
      </w:r>
      <w:r w:rsidR="009564EE">
        <w:rPr>
          <w:rFonts w:eastAsia="Palatino Linotype" w:cs="Times New Roman"/>
        </w:rPr>
        <w:t>The DT did not identify any other WECC Criteria, Standards, or NAESB documents that would be impacted if the proposed ICC where adopted.</w:t>
      </w:r>
      <w:r w:rsidR="00E8649E">
        <w:rPr>
          <w:rFonts w:eastAsia="Palatino Linotype" w:cs="Times New Roman"/>
        </w:rPr>
        <w:t xml:space="preserve"> </w:t>
      </w:r>
    </w:p>
    <w:bookmarkEnd w:id="3"/>
    <w:p w14:paraId="2885BB72" w14:textId="77777777" w:rsidR="0053685B" w:rsidRPr="001C5A59" w:rsidRDefault="0053685B" w:rsidP="0053685B">
      <w:pPr>
        <w:pStyle w:val="Heading2"/>
      </w:pPr>
      <w:r w:rsidRPr="001C5A59">
        <w:t>Action Plan</w:t>
      </w:r>
      <w:r w:rsidR="008446F5" w:rsidRPr="001C5A59">
        <w:t xml:space="preserve"> </w:t>
      </w:r>
    </w:p>
    <w:p w14:paraId="63CA4E26" w14:textId="2258A36D" w:rsidR="00071429" w:rsidRDefault="00C5640A" w:rsidP="00E90B23">
      <w:pPr>
        <w:pStyle w:val="Normal2"/>
        <w:ind w:left="0"/>
      </w:pPr>
      <w:bookmarkStart w:id="4" w:name="_Hlk151554589"/>
      <w:r w:rsidRPr="00C5640A">
        <w:t>On February 28, 2024, the WECC-0153 INT Consolidation Criterion Drafting Team agreed by majority vote to forward the project to the WECC Standards Committee (WSC) with a request for ballot.</w:t>
      </w:r>
      <w:r w:rsidR="0046271C">
        <w:t xml:space="preserve">  The project will be forwarded to the WSC with a request </w:t>
      </w:r>
      <w:r w:rsidR="00071429">
        <w:t xml:space="preserve">to approve for balloting. </w:t>
      </w:r>
    </w:p>
    <w:bookmarkEnd w:id="4"/>
    <w:p w14:paraId="6E4FE88A" w14:textId="6AA636DA"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2"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10075" w:type="dxa"/>
        <w:tblLook w:val="04A0" w:firstRow="1" w:lastRow="0" w:firstColumn="1" w:lastColumn="0" w:noHBand="0" w:noVBand="1"/>
      </w:tblPr>
      <w:tblGrid>
        <w:gridCol w:w="3865"/>
        <w:gridCol w:w="6210"/>
      </w:tblGrid>
      <w:tr w:rsidR="008E2D28" w14:paraId="60B1031B" w14:textId="77777777" w:rsidTr="00FC0A41">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865" w:type="dxa"/>
          </w:tcPr>
          <w:p w14:paraId="274C28B8" w14:textId="77777777" w:rsidR="008E2D28" w:rsidRDefault="008E2D28" w:rsidP="008E2D28">
            <w:r>
              <w:t>Commenter</w:t>
            </w:r>
          </w:p>
        </w:tc>
        <w:tc>
          <w:tcPr>
            <w:tcW w:w="6210"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BE049C" w:rsidRPr="004B411E" w14:paraId="5E3B5FB8" w14:textId="77777777" w:rsidTr="00FC0A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865" w:type="dxa"/>
          </w:tcPr>
          <w:p w14:paraId="1E4B1AC4" w14:textId="55C55B6F" w:rsidR="00BE049C" w:rsidRPr="007F3360" w:rsidRDefault="00B3385F" w:rsidP="00B3385F">
            <w:r w:rsidRPr="00B3385F">
              <w:t>Adrian Andreoiu</w:t>
            </w:r>
          </w:p>
        </w:tc>
        <w:tc>
          <w:tcPr>
            <w:tcW w:w="6210" w:type="dxa"/>
          </w:tcPr>
          <w:p w14:paraId="424EA5CC" w14:textId="1B1A739F" w:rsidR="00BE049C" w:rsidRPr="007F3360" w:rsidRDefault="00B3385F" w:rsidP="00B3385F">
            <w:pPr>
              <w:cnfStyle w:val="000000100000" w:firstRow="0" w:lastRow="0" w:firstColumn="0" w:lastColumn="0" w:oddVBand="0" w:evenVBand="0" w:oddHBand="1" w:evenHBand="0" w:firstRowFirstColumn="0" w:firstRowLastColumn="0" w:lastRowFirstColumn="0" w:lastRowLastColumn="0"/>
            </w:pPr>
            <w:r w:rsidRPr="00B3385F">
              <w:t>BC Hydro</w:t>
            </w:r>
          </w:p>
        </w:tc>
      </w:tr>
      <w:tr w:rsidR="00B3385F" w:rsidRPr="004B411E" w14:paraId="0BC63645" w14:textId="77777777" w:rsidTr="00FC0A41">
        <w:trPr>
          <w:trHeight w:val="37"/>
        </w:trPr>
        <w:tc>
          <w:tcPr>
            <w:cnfStyle w:val="001000000000" w:firstRow="0" w:lastRow="0" w:firstColumn="1" w:lastColumn="0" w:oddVBand="0" w:evenVBand="0" w:oddHBand="0" w:evenHBand="0" w:firstRowFirstColumn="0" w:firstRowLastColumn="0" w:lastRowFirstColumn="0" w:lastRowLastColumn="0"/>
            <w:tcW w:w="3865" w:type="dxa"/>
          </w:tcPr>
          <w:p w14:paraId="07972AD7" w14:textId="2D5B403C" w:rsidR="00B3385F" w:rsidRPr="00B3385F" w:rsidRDefault="00B3385F" w:rsidP="00B3385F">
            <w:pPr>
              <w:rPr>
                <w:bCs w:val="0"/>
              </w:rPr>
            </w:pPr>
            <w:r>
              <w:rPr>
                <w:bCs w:val="0"/>
              </w:rPr>
              <w:t>Raj Hundal</w:t>
            </w:r>
          </w:p>
        </w:tc>
        <w:tc>
          <w:tcPr>
            <w:tcW w:w="6210" w:type="dxa"/>
          </w:tcPr>
          <w:p w14:paraId="4D533287" w14:textId="2A13644F" w:rsidR="00B3385F" w:rsidRPr="00B3385F" w:rsidRDefault="00B3385F" w:rsidP="00B3385F">
            <w:pPr>
              <w:cnfStyle w:val="000000000000" w:firstRow="0" w:lastRow="0" w:firstColumn="0" w:lastColumn="0" w:oddVBand="0" w:evenVBand="0" w:oddHBand="0" w:evenHBand="0" w:firstRowFirstColumn="0" w:firstRowLastColumn="0" w:lastRowFirstColumn="0" w:lastRowLastColumn="0"/>
            </w:pPr>
            <w:r>
              <w:t>Powerex</w:t>
            </w:r>
          </w:p>
        </w:tc>
      </w:tr>
    </w:tbl>
    <w:p w14:paraId="3C86E329" w14:textId="5CFC8248" w:rsidR="005B679F" w:rsidRPr="005B679F" w:rsidRDefault="005B679F"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16B4E791" w14:textId="4057FDCA" w:rsidR="005B679F" w:rsidRPr="005B679F" w:rsidRDefault="009D2CEE" w:rsidP="005B679F">
      <w:pPr>
        <w:numPr>
          <w:ilvl w:val="0"/>
          <w:numId w:val="11"/>
        </w:numPr>
        <w:suppressAutoHyphens/>
        <w:spacing w:before="120"/>
        <w:ind w:left="360"/>
        <w:contextualSpacing/>
        <w:rPr>
          <w:b/>
        </w:rPr>
      </w:pPr>
      <w:r>
        <w:rPr>
          <w:b/>
        </w:rPr>
        <w:t xml:space="preserve">The drafting team invited comments on all aspects of the document. </w:t>
      </w:r>
    </w:p>
    <w:tbl>
      <w:tblPr>
        <w:tblStyle w:val="WECCTable1"/>
        <w:tblW w:w="9715" w:type="dxa"/>
        <w:tblLook w:val="04A0" w:firstRow="1" w:lastRow="0" w:firstColumn="1" w:lastColumn="0" w:noHBand="0" w:noVBand="1"/>
      </w:tblPr>
      <w:tblGrid>
        <w:gridCol w:w="3055"/>
        <w:gridCol w:w="6660"/>
      </w:tblGrid>
      <w:tr w:rsidR="005B679F" w:rsidRPr="005B679F" w14:paraId="1C194E22" w14:textId="77777777" w:rsidTr="00BE04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55"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660" w:type="dxa"/>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BE04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55" w:type="dxa"/>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666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BE0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auto"/>
            </w:tcBorders>
          </w:tcPr>
          <w:p w14:paraId="54E090E3" w14:textId="50470DD3" w:rsidR="007F3360" w:rsidRPr="005B679F" w:rsidRDefault="00B3385F" w:rsidP="00B3385F">
            <w:pPr>
              <w:spacing w:line="240" w:lineRule="auto"/>
              <w:contextualSpacing/>
              <w:rPr>
                <w:bCs w:val="0"/>
              </w:rPr>
            </w:pPr>
            <w:bookmarkStart w:id="5" w:name="_Hlk85536468"/>
            <w:bookmarkStart w:id="6" w:name="_Hlk111814452"/>
            <w:r>
              <w:rPr>
                <w:bCs w:val="0"/>
              </w:rPr>
              <w:t>BC Hydro</w:t>
            </w:r>
          </w:p>
        </w:tc>
        <w:tc>
          <w:tcPr>
            <w:tcW w:w="6660" w:type="dxa"/>
            <w:tcBorders>
              <w:bottom w:val="single" w:sz="4" w:space="0" w:color="auto"/>
            </w:tcBorders>
          </w:tcPr>
          <w:p w14:paraId="7E0B8C28" w14:textId="0501FD09" w:rsidR="005B679F" w:rsidRPr="005B679F" w:rsidRDefault="00B3385F" w:rsidP="00B3385F">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​BC Hydro thanks the drafting team for their efforts and is in support of the revisions in this Posting 3.</w:t>
            </w:r>
          </w:p>
        </w:tc>
      </w:tr>
      <w:tr w:rsidR="007A400F" w:rsidRPr="005B679F" w14:paraId="172B6C22" w14:textId="77777777" w:rsidTr="00BE049C">
        <w:tc>
          <w:tcPr>
            <w:cnfStyle w:val="001000000000" w:firstRow="0" w:lastRow="0" w:firstColumn="1" w:lastColumn="0" w:oddVBand="0" w:evenVBand="0" w:oddHBand="0" w:evenHBand="0" w:firstRowFirstColumn="0" w:firstRowLastColumn="0" w:lastRowFirstColumn="0" w:lastRowLastColumn="0"/>
            <w:tcW w:w="9715" w:type="dxa"/>
            <w:gridSpan w:val="2"/>
            <w:tcBorders>
              <w:right w:val="single" w:sz="4" w:space="0" w:color="auto"/>
            </w:tcBorders>
          </w:tcPr>
          <w:p w14:paraId="4858F13C" w14:textId="43D3DE5B" w:rsidR="00E139E9" w:rsidRPr="000A3533" w:rsidRDefault="00B3385F" w:rsidP="00B3385F">
            <w:pPr>
              <w:shd w:val="clear" w:color="auto" w:fill="FFFFFF"/>
              <w:spacing w:line="240" w:lineRule="auto"/>
              <w:ind w:left="-22"/>
              <w:contextualSpacing/>
              <w:rPr>
                <w:color w:val="00395D" w:themeColor="accent1"/>
              </w:rPr>
            </w:pPr>
            <w:bookmarkStart w:id="7" w:name="_Hlk159834273"/>
            <w:bookmarkEnd w:id="5"/>
            <w:r>
              <w:rPr>
                <w:color w:val="00395D" w:themeColor="accent1"/>
              </w:rPr>
              <w:t>The drafting team thanks BC Hydro for its continued involvement in the Standards development process.</w:t>
            </w:r>
          </w:p>
        </w:tc>
      </w:tr>
      <w:bookmarkEnd w:id="6"/>
      <w:bookmarkEnd w:id="7"/>
      <w:tr w:rsidR="00B3385F" w:rsidRPr="005B679F" w14:paraId="38882C9B" w14:textId="77777777" w:rsidTr="003C0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auto"/>
            </w:tcBorders>
          </w:tcPr>
          <w:p w14:paraId="097ACAB6" w14:textId="27471C81" w:rsidR="00B3385F" w:rsidRPr="005B679F" w:rsidRDefault="00B3385F" w:rsidP="00B3385F">
            <w:pPr>
              <w:spacing w:line="240" w:lineRule="auto"/>
              <w:contextualSpacing/>
              <w:rPr>
                <w:bCs w:val="0"/>
              </w:rPr>
            </w:pPr>
            <w:r>
              <w:rPr>
                <w:bCs w:val="0"/>
              </w:rPr>
              <w:t>Powerex</w:t>
            </w:r>
          </w:p>
        </w:tc>
        <w:tc>
          <w:tcPr>
            <w:tcW w:w="6660" w:type="dxa"/>
            <w:tcBorders>
              <w:bottom w:val="single" w:sz="4" w:space="0" w:color="auto"/>
            </w:tcBorders>
          </w:tcPr>
          <w:p w14:paraId="46BF6B67" w14:textId="116D60CB" w:rsidR="00B3385F" w:rsidRPr="005B679F" w:rsidRDefault="00B3385F" w:rsidP="00B3385F">
            <w:pPr>
              <w:spacing w:line="240" w:lineRule="auto"/>
              <w:contextualSpacing/>
              <w:cnfStyle w:val="000000100000" w:firstRow="0" w:lastRow="0" w:firstColumn="0" w:lastColumn="0" w:oddVBand="0" w:evenVBand="0" w:oddHBand="1" w:evenHBand="0" w:firstRowFirstColumn="0" w:firstRowLastColumn="0" w:lastRowFirstColumn="0" w:lastRowLastColumn="0"/>
            </w:pPr>
            <w:r w:rsidRPr="00B3385F">
              <w:t>​Powerex appreciates the drafting team addressing our comments in the previous posting.  Powerex has no further comments.  Thank you.</w:t>
            </w:r>
          </w:p>
        </w:tc>
      </w:tr>
      <w:tr w:rsidR="00B3385F" w:rsidRPr="005B679F" w14:paraId="6A2A137C" w14:textId="77777777" w:rsidTr="003C091E">
        <w:tc>
          <w:tcPr>
            <w:cnfStyle w:val="001000000000" w:firstRow="0" w:lastRow="0" w:firstColumn="1" w:lastColumn="0" w:oddVBand="0" w:evenVBand="0" w:oddHBand="0" w:evenHBand="0" w:firstRowFirstColumn="0" w:firstRowLastColumn="0" w:lastRowFirstColumn="0" w:lastRowLastColumn="0"/>
            <w:tcW w:w="9715" w:type="dxa"/>
            <w:gridSpan w:val="2"/>
            <w:tcBorders>
              <w:right w:val="single" w:sz="4" w:space="0" w:color="auto"/>
            </w:tcBorders>
          </w:tcPr>
          <w:p w14:paraId="59AA0260" w14:textId="3F8FF9C2" w:rsidR="00B3385F" w:rsidRPr="000A3533" w:rsidRDefault="00B3385F" w:rsidP="00B3385F">
            <w:pPr>
              <w:shd w:val="clear" w:color="auto" w:fill="FFFFFF"/>
              <w:spacing w:line="240" w:lineRule="auto"/>
              <w:ind w:left="-22"/>
              <w:contextualSpacing/>
              <w:rPr>
                <w:color w:val="00395D" w:themeColor="accent1"/>
              </w:rPr>
            </w:pPr>
            <w:r w:rsidRPr="00B3385F">
              <w:rPr>
                <w:color w:val="00395D" w:themeColor="accent1"/>
              </w:rPr>
              <w:t xml:space="preserve">The drafting team thanks </w:t>
            </w:r>
            <w:r>
              <w:rPr>
                <w:color w:val="00395D" w:themeColor="accent1"/>
              </w:rPr>
              <w:t xml:space="preserve">Powerex </w:t>
            </w:r>
            <w:r w:rsidRPr="00B3385F">
              <w:rPr>
                <w:color w:val="00395D" w:themeColor="accent1"/>
              </w:rPr>
              <w:t>for its continued involvement in the Standards development process.</w:t>
            </w:r>
          </w:p>
        </w:tc>
      </w:tr>
    </w:tbl>
    <w:p w14:paraId="7F0137CE" w14:textId="57BC5504" w:rsidR="00D126E2" w:rsidRDefault="00D126E2" w:rsidP="00AA6BF2"/>
    <w:sectPr w:rsidR="00D126E2" w:rsidSect="00E60569">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B6D9" w14:textId="77777777" w:rsidR="0089135E" w:rsidRDefault="0089135E" w:rsidP="00E60569">
      <w:r>
        <w:separator/>
      </w:r>
    </w:p>
    <w:p w14:paraId="3AC19626" w14:textId="77777777" w:rsidR="0089135E" w:rsidRDefault="0089135E" w:rsidP="00E60569"/>
  </w:endnote>
  <w:endnote w:type="continuationSeparator" w:id="0">
    <w:p w14:paraId="26A5EE9E" w14:textId="77777777" w:rsidR="0089135E" w:rsidRDefault="0089135E" w:rsidP="00E60569">
      <w:r>
        <w:continuationSeparator/>
      </w:r>
    </w:p>
    <w:p w14:paraId="46BFF9CA" w14:textId="77777777" w:rsidR="0089135E" w:rsidRDefault="0089135E"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F27D" w14:textId="77777777" w:rsidR="000A58FC" w:rsidRDefault="000A58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211502E2"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sidR="003A6EC8">
          <w:rPr>
            <w:b w:val="0"/>
            <w:sz w:val="22"/>
          </w:rPr>
          <w:t>3</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3DA6" w14:textId="77777777" w:rsidR="0089135E" w:rsidRDefault="0089135E" w:rsidP="0053685B">
      <w:pPr>
        <w:pStyle w:val="FootnoteText"/>
      </w:pPr>
      <w:r>
        <w:separator/>
      </w:r>
    </w:p>
  </w:footnote>
  <w:footnote w:type="continuationSeparator" w:id="0">
    <w:p w14:paraId="13C6C067" w14:textId="77777777" w:rsidR="0089135E" w:rsidRDefault="0089135E" w:rsidP="00E60569">
      <w:r>
        <w:continuationSeparator/>
      </w:r>
    </w:p>
    <w:p w14:paraId="4ACFEA50" w14:textId="77777777" w:rsidR="0089135E" w:rsidRDefault="0089135E" w:rsidP="00E60569"/>
  </w:footnote>
  <w:footnote w:id="1">
    <w:p w14:paraId="51939AA7" w14:textId="29349D28" w:rsidR="00762843" w:rsidRDefault="00762843">
      <w:pPr>
        <w:pStyle w:val="FootnoteText"/>
      </w:pPr>
      <w:r>
        <w:rPr>
          <w:rStyle w:val="FootnoteReference"/>
        </w:rPr>
        <w:footnoteRef/>
      </w:r>
      <w:r>
        <w:t xml:space="preserve"> </w:t>
      </w:r>
      <w:r w:rsidRPr="00762843">
        <w:t>Because various INTs have been retired or consolidated over time, the 11 INTs incorporated are not numbered sequentially.  For example, INT-“002”-CRT-WECC no longer exists.  This sequential void could lead to confusion on the part of new and future entrants to the industry.  To remedy the concern, the drafting team should consider whether this is an appropriate time to sequentially renumber the segments of the ICC. If this approach is adopted, the history table could include a cross-reference from old to new.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1402055E" w:rsidR="00415F11" w:rsidRDefault="00D01238">
    <w:pPr>
      <w:pStyle w:val="Header"/>
    </w:pPr>
    <w:r>
      <w:rPr>
        <w:noProof/>
      </w:rPr>
      <mc:AlternateContent>
        <mc:Choice Requires="wps">
          <w:drawing>
            <wp:anchor distT="0" distB="0" distL="0" distR="0" simplePos="0" relativeHeight="251666432" behindDoc="0" locked="0" layoutInCell="1" allowOverlap="1" wp14:anchorId="2C94A245" wp14:editId="77FB8D65">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4A245"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9E04A1">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15532" o:spid="_x0000_s1033" type="#_x0000_t136" style="position:absolute;left:0;text-align:left;margin-left:0;margin-top:0;width:612.85pt;height:97.7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3 - To Te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4E3642C6" w:rsidR="00415F11" w:rsidRPr="00E5288E" w:rsidRDefault="00D01238"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09C5CCE0" wp14:editId="0FABF787">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5CCE0"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9E04A1">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15533" o:spid="_x0000_s1034" type="#_x0000_t136" style="position:absolute;left:0;text-align:left;margin-left:0;margin-top:0;width:612.85pt;height:97.7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3 - To Tech"/>
          <w10:wrap anchorx="margin" anchory="margin"/>
        </v:shape>
      </w:pict>
    </w:r>
    <w:r w:rsidR="00415F11" w:rsidRPr="002271E7">
      <w:rPr>
        <w:color w:val="00395D" w:themeColor="accent1"/>
        <w:sz w:val="22"/>
      </w:rPr>
      <w:t>WECC-01</w:t>
    </w:r>
    <w:r w:rsidR="00BE049C">
      <w:rPr>
        <w:color w:val="00395D" w:themeColor="accent1"/>
        <w:sz w:val="22"/>
      </w:rPr>
      <w:t>53</w:t>
    </w:r>
    <w:r w:rsidR="009C3103">
      <w:rPr>
        <w:color w:val="00395D" w:themeColor="accent1"/>
        <w:sz w:val="22"/>
      </w:rPr>
      <w:t xml:space="preserve"> R</w:t>
    </w:r>
    <w:r w:rsidR="00415F11" w:rsidRPr="002271E7">
      <w:rPr>
        <w:color w:val="00395D" w:themeColor="accent1"/>
        <w:sz w:val="22"/>
      </w:rPr>
      <w:t xml:space="preserve">esponse to Comments Posting </w:t>
    </w:r>
    <w:r w:rsidR="00F26F13">
      <w:rPr>
        <w:color w:val="00395D" w:themeColor="accent1"/>
        <w:sz w:val="22"/>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41F2905B" w:rsidR="00415F11" w:rsidRDefault="0046271C" w:rsidP="00FD6572">
    <w:pPr>
      <w:pStyle w:val="Header"/>
    </w:pPr>
    <w:r>
      <w:rPr>
        <w:noProof/>
      </w:rPr>
      <w:drawing>
        <wp:anchor distT="0" distB="0" distL="114300" distR="114300" simplePos="0" relativeHeight="251658240" behindDoc="1" locked="0" layoutInCell="1" allowOverlap="1" wp14:anchorId="596D6C42" wp14:editId="4399472E">
          <wp:simplePos x="0" y="0"/>
          <wp:positionH relativeFrom="column">
            <wp:posOffset>6350</wp:posOffset>
          </wp:positionH>
          <wp:positionV relativeFrom="paragraph">
            <wp:posOffset>74930</wp:posOffset>
          </wp:positionV>
          <wp:extent cx="2811145" cy="901065"/>
          <wp:effectExtent l="0" t="0" r="8255" b="0"/>
          <wp:wrapTight wrapText="bothSides">
            <wp:wrapPolygon edited="0">
              <wp:start x="3659" y="0"/>
              <wp:lineTo x="0" y="1827"/>
              <wp:lineTo x="0" y="3653"/>
              <wp:lineTo x="439" y="7307"/>
              <wp:lineTo x="1756" y="14613"/>
              <wp:lineTo x="0" y="18266"/>
              <wp:lineTo x="0" y="21006"/>
              <wp:lineTo x="8051" y="21006"/>
              <wp:lineTo x="15223" y="21006"/>
              <wp:lineTo x="21517" y="21006"/>
              <wp:lineTo x="21517" y="17810"/>
              <wp:lineTo x="6733" y="14613"/>
              <wp:lineTo x="17419" y="14613"/>
              <wp:lineTo x="21517" y="12786"/>
              <wp:lineTo x="21517" y="5023"/>
              <wp:lineTo x="4391" y="0"/>
              <wp:lineTo x="365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811145" cy="901065"/>
                  </a:xfrm>
                  <a:prstGeom prst="rect">
                    <a:avLst/>
                  </a:prstGeom>
                </pic:spPr>
              </pic:pic>
            </a:graphicData>
          </a:graphic>
          <wp14:sizeRelH relativeFrom="page">
            <wp14:pctWidth>0</wp14:pctWidth>
          </wp14:sizeRelH>
          <wp14:sizeRelV relativeFrom="page">
            <wp14:pctHeight>0</wp14:pctHeight>
          </wp14:sizeRelV>
        </wp:anchor>
      </w:drawing>
    </w:r>
    <w:r w:rsidR="00D01238">
      <w:rPr>
        <w:noProof/>
      </w:rPr>
      <mc:AlternateContent>
        <mc:Choice Requires="wps">
          <w:drawing>
            <wp:anchor distT="0" distB="0" distL="0" distR="0" simplePos="0" relativeHeight="251665408" behindDoc="0" locked="0" layoutInCell="1" allowOverlap="1" wp14:anchorId="1C281B09" wp14:editId="76A6B462">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81B09"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9E04A1">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715531" o:spid="_x0000_s1032" type="#_x0000_t136" style="position:absolute;left:0;text-align:left;margin-left:0;margin-top:0;width:612.85pt;height:97.7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3 - To Tech"/>
          <w10:wrap anchorx="margin" anchory="margin"/>
        </v:shape>
      </w:pict>
    </w:r>
  </w:p>
  <w:p w14:paraId="3B17D16F" w14:textId="73FAB879" w:rsidR="00BE049C" w:rsidRDefault="009C3103" w:rsidP="009C3103">
    <w:pPr>
      <w:pStyle w:val="Header"/>
      <w:rPr>
        <w:bCs/>
      </w:rPr>
    </w:pPr>
    <w:bookmarkStart w:id="8" w:name="_Hlk23152673"/>
    <w:r w:rsidRPr="009C3103">
      <w:rPr>
        <w:bCs/>
      </w:rPr>
      <w:t>WECC-01</w:t>
    </w:r>
    <w:r w:rsidR="00BE049C">
      <w:rPr>
        <w:bCs/>
      </w:rPr>
      <w:t xml:space="preserve">53 INT Consolidated Criterion </w:t>
    </w:r>
  </w:p>
  <w:p w14:paraId="35CBA0A3" w14:textId="6A46206A" w:rsidR="009C3103" w:rsidRPr="009C3103" w:rsidRDefault="009C3103" w:rsidP="009C3103">
    <w:pPr>
      <w:pStyle w:val="Header"/>
      <w:rPr>
        <w:bCs/>
      </w:rPr>
    </w:pPr>
    <w:r w:rsidRPr="009C3103">
      <w:rPr>
        <w:bCs/>
      </w:rPr>
      <w:t xml:space="preserve">Response to Comments Posting </w:t>
    </w:r>
    <w:r w:rsidR="00F26F13">
      <w:rPr>
        <w:bCs/>
      </w:rPr>
      <w:t>3</w:t>
    </w:r>
    <w:r w:rsidRPr="009C3103">
      <w:rPr>
        <w:bCs/>
      </w:rPr>
      <w:t xml:space="preserve"> </w:t>
    </w:r>
  </w:p>
  <w:p w14:paraId="3ECFA553" w14:textId="693EA010" w:rsidR="009564EE" w:rsidRDefault="00F26F13" w:rsidP="00833E1A">
    <w:pPr>
      <w:pStyle w:val="Header"/>
      <w:rPr>
        <w:bCs/>
      </w:rPr>
    </w:pPr>
    <w:r>
      <w:rPr>
        <w:bCs/>
      </w:rPr>
      <w:t>January 26, 2024</w:t>
    </w:r>
    <w:r w:rsidR="0046271C">
      <w:rPr>
        <w:bCs/>
      </w:rPr>
      <w:t xml:space="preserve"> t</w:t>
    </w:r>
    <w:r>
      <w:rPr>
        <w:bCs/>
      </w:rPr>
      <w:t>hrough February 26,</w:t>
    </w:r>
    <w:r w:rsidR="0046271C">
      <w:rPr>
        <w:bCs/>
      </w:rPr>
      <w:t xml:space="preserve"> 2024</w:t>
    </w: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08D14CF"/>
    <w:multiLevelType w:val="hybridMultilevel"/>
    <w:tmpl w:val="E3FA76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0579E"/>
    <w:multiLevelType w:val="hybridMultilevel"/>
    <w:tmpl w:val="3530ED8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0663F"/>
    <w:multiLevelType w:val="hybridMultilevel"/>
    <w:tmpl w:val="9BD2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45D96"/>
    <w:multiLevelType w:val="hybridMultilevel"/>
    <w:tmpl w:val="260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6"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F04937"/>
    <w:multiLevelType w:val="multilevel"/>
    <w:tmpl w:val="22D0FC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5EFA67B0"/>
    <w:multiLevelType w:val="hybridMultilevel"/>
    <w:tmpl w:val="E94C8566"/>
    <w:lvl w:ilvl="0" w:tplc="E4F6550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30"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1"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A7887"/>
    <w:multiLevelType w:val="hybridMultilevel"/>
    <w:tmpl w:val="27BA73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6"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9"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4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4" w15:restartNumberingAfterBreak="0">
    <w:nsid w:val="73361D0C"/>
    <w:multiLevelType w:val="hybridMultilevel"/>
    <w:tmpl w:val="99FCCD24"/>
    <w:lvl w:ilvl="0" w:tplc="9E70958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603012">
    <w:abstractNumId w:val="42"/>
  </w:num>
  <w:num w:numId="2" w16cid:durableId="2004819147">
    <w:abstractNumId w:val="25"/>
  </w:num>
  <w:num w:numId="3" w16cid:durableId="541284196">
    <w:abstractNumId w:val="7"/>
  </w:num>
  <w:num w:numId="4" w16cid:durableId="2048681086">
    <w:abstractNumId w:val="15"/>
  </w:num>
  <w:num w:numId="5" w16cid:durableId="1285845079">
    <w:abstractNumId w:val="43"/>
  </w:num>
  <w:num w:numId="6" w16cid:durableId="993610144">
    <w:abstractNumId w:val="17"/>
  </w:num>
  <w:num w:numId="7" w16cid:durableId="1059088646">
    <w:abstractNumId w:val="41"/>
  </w:num>
  <w:num w:numId="8" w16cid:durableId="629553841">
    <w:abstractNumId w:val="30"/>
  </w:num>
  <w:num w:numId="9" w16cid:durableId="1197894128">
    <w:abstractNumId w:val="37"/>
  </w:num>
  <w:num w:numId="10" w16cid:durableId="1186821129">
    <w:abstractNumId w:val="16"/>
  </w:num>
  <w:num w:numId="11" w16cid:durableId="1887141875">
    <w:abstractNumId w:val="16"/>
    <w:lvlOverride w:ilvl="0">
      <w:startOverride w:val="1"/>
    </w:lvlOverride>
  </w:num>
  <w:num w:numId="12" w16cid:durableId="462306570">
    <w:abstractNumId w:val="18"/>
  </w:num>
  <w:num w:numId="13" w16cid:durableId="1215308465">
    <w:abstractNumId w:val="12"/>
  </w:num>
  <w:num w:numId="14" w16cid:durableId="1237280730">
    <w:abstractNumId w:val="40"/>
  </w:num>
  <w:num w:numId="15" w16cid:durableId="1257245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078810">
    <w:abstractNumId w:val="3"/>
  </w:num>
  <w:num w:numId="17" w16cid:durableId="1150054220">
    <w:abstractNumId w:val="27"/>
  </w:num>
  <w:num w:numId="18" w16cid:durableId="490831068">
    <w:abstractNumId w:val="10"/>
  </w:num>
  <w:num w:numId="19" w16cid:durableId="982462458">
    <w:abstractNumId w:val="14"/>
  </w:num>
  <w:num w:numId="20" w16cid:durableId="97408712">
    <w:abstractNumId w:val="45"/>
  </w:num>
  <w:num w:numId="21" w16cid:durableId="512114438">
    <w:abstractNumId w:val="39"/>
  </w:num>
  <w:num w:numId="22" w16cid:durableId="546570705">
    <w:abstractNumId w:val="16"/>
    <w:lvlOverride w:ilvl="0">
      <w:startOverride w:val="1"/>
    </w:lvlOverride>
  </w:num>
  <w:num w:numId="23" w16cid:durableId="437025758">
    <w:abstractNumId w:val="1"/>
  </w:num>
  <w:num w:numId="24" w16cid:durableId="297229374">
    <w:abstractNumId w:val="4"/>
  </w:num>
  <w:num w:numId="25" w16cid:durableId="1619145500">
    <w:abstractNumId w:val="32"/>
  </w:num>
  <w:num w:numId="26" w16cid:durableId="1661736545">
    <w:abstractNumId w:val="2"/>
  </w:num>
  <w:num w:numId="27" w16cid:durableId="1905067524">
    <w:abstractNumId w:val="22"/>
  </w:num>
  <w:num w:numId="28" w16cid:durableId="642320780">
    <w:abstractNumId w:val="13"/>
  </w:num>
  <w:num w:numId="29" w16cid:durableId="1931348032">
    <w:abstractNumId w:val="6"/>
  </w:num>
  <w:num w:numId="30" w16cid:durableId="1868906231">
    <w:abstractNumId w:val="26"/>
  </w:num>
  <w:num w:numId="31" w16cid:durableId="160530916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981038">
    <w:abstractNumId w:val="5"/>
  </w:num>
  <w:num w:numId="33" w16cid:durableId="1589658914">
    <w:abstractNumId w:val="21"/>
  </w:num>
  <w:num w:numId="34" w16cid:durableId="700670393">
    <w:abstractNumId w:val="33"/>
  </w:num>
  <w:num w:numId="35" w16cid:durableId="1005547707">
    <w:abstractNumId w:val="38"/>
  </w:num>
  <w:num w:numId="36" w16cid:durableId="1789466786">
    <w:abstractNumId w:val="9"/>
  </w:num>
  <w:num w:numId="37" w16cid:durableId="1097673525">
    <w:abstractNumId w:val="19"/>
  </w:num>
  <w:num w:numId="38" w16cid:durableId="1626428904">
    <w:abstractNumId w:val="34"/>
  </w:num>
  <w:num w:numId="39" w16cid:durableId="1290285496">
    <w:abstractNumId w:val="16"/>
  </w:num>
  <w:num w:numId="40" w16cid:durableId="1667509819">
    <w:abstractNumId w:val="31"/>
  </w:num>
  <w:num w:numId="41" w16cid:durableId="1085762141">
    <w:abstractNumId w:val="29"/>
  </w:num>
  <w:num w:numId="42" w16cid:durableId="677387277">
    <w:abstractNumId w:val="8"/>
  </w:num>
  <w:num w:numId="43" w16cid:durableId="969895220">
    <w:abstractNumId w:val="24"/>
  </w:num>
  <w:num w:numId="44" w16cid:durableId="1082487526">
    <w:abstractNumId w:val="35"/>
  </w:num>
  <w:num w:numId="45" w16cid:durableId="39987365">
    <w:abstractNumId w:val="20"/>
  </w:num>
  <w:num w:numId="46" w16cid:durableId="289673033">
    <w:abstractNumId w:val="11"/>
  </w:num>
  <w:num w:numId="47" w16cid:durableId="815031738">
    <w:abstractNumId w:val="23"/>
  </w:num>
  <w:num w:numId="48" w16cid:durableId="10888457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3055065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4F3E"/>
    <w:rsid w:val="0004659E"/>
    <w:rsid w:val="000544F0"/>
    <w:rsid w:val="00060803"/>
    <w:rsid w:val="000625C8"/>
    <w:rsid w:val="00062FD5"/>
    <w:rsid w:val="00064067"/>
    <w:rsid w:val="0006553B"/>
    <w:rsid w:val="0006630A"/>
    <w:rsid w:val="00067501"/>
    <w:rsid w:val="00071429"/>
    <w:rsid w:val="00071D3D"/>
    <w:rsid w:val="00071F78"/>
    <w:rsid w:val="000733F6"/>
    <w:rsid w:val="00077FA9"/>
    <w:rsid w:val="000833A8"/>
    <w:rsid w:val="0008403E"/>
    <w:rsid w:val="00090829"/>
    <w:rsid w:val="00091311"/>
    <w:rsid w:val="00092CB5"/>
    <w:rsid w:val="00096702"/>
    <w:rsid w:val="00097921"/>
    <w:rsid w:val="000A1755"/>
    <w:rsid w:val="000A3533"/>
    <w:rsid w:val="000A4DDD"/>
    <w:rsid w:val="000A58FC"/>
    <w:rsid w:val="000A7509"/>
    <w:rsid w:val="000B3448"/>
    <w:rsid w:val="000B360E"/>
    <w:rsid w:val="000B364E"/>
    <w:rsid w:val="000B6418"/>
    <w:rsid w:val="000C22A2"/>
    <w:rsid w:val="000D3E2E"/>
    <w:rsid w:val="000D56D6"/>
    <w:rsid w:val="000D63FA"/>
    <w:rsid w:val="000D7344"/>
    <w:rsid w:val="000E3160"/>
    <w:rsid w:val="000E5CC7"/>
    <w:rsid w:val="000F3CFC"/>
    <w:rsid w:val="000F5D12"/>
    <w:rsid w:val="000F614E"/>
    <w:rsid w:val="000F7B31"/>
    <w:rsid w:val="0010153E"/>
    <w:rsid w:val="001040CC"/>
    <w:rsid w:val="00104AE7"/>
    <w:rsid w:val="00105B18"/>
    <w:rsid w:val="00106394"/>
    <w:rsid w:val="0010640C"/>
    <w:rsid w:val="001079A8"/>
    <w:rsid w:val="0011358A"/>
    <w:rsid w:val="00116C5E"/>
    <w:rsid w:val="001208EE"/>
    <w:rsid w:val="0012474D"/>
    <w:rsid w:val="001329AD"/>
    <w:rsid w:val="00135202"/>
    <w:rsid w:val="00135654"/>
    <w:rsid w:val="00143454"/>
    <w:rsid w:val="001469BB"/>
    <w:rsid w:val="001512EE"/>
    <w:rsid w:val="00160911"/>
    <w:rsid w:val="001636D2"/>
    <w:rsid w:val="00171A03"/>
    <w:rsid w:val="001727D3"/>
    <w:rsid w:val="00185D80"/>
    <w:rsid w:val="001864C5"/>
    <w:rsid w:val="001A6A21"/>
    <w:rsid w:val="001B5EEC"/>
    <w:rsid w:val="001B7CE9"/>
    <w:rsid w:val="001C2248"/>
    <w:rsid w:val="001C497F"/>
    <w:rsid w:val="001C5A59"/>
    <w:rsid w:val="001C7E2D"/>
    <w:rsid w:val="001E12D2"/>
    <w:rsid w:val="001E1B6F"/>
    <w:rsid w:val="001E561E"/>
    <w:rsid w:val="001F1BBC"/>
    <w:rsid w:val="001F3FA9"/>
    <w:rsid w:val="001F739D"/>
    <w:rsid w:val="00202A82"/>
    <w:rsid w:val="00203374"/>
    <w:rsid w:val="00206057"/>
    <w:rsid w:val="00207C13"/>
    <w:rsid w:val="00214DEF"/>
    <w:rsid w:val="00216976"/>
    <w:rsid w:val="00220016"/>
    <w:rsid w:val="002201AF"/>
    <w:rsid w:val="0022181C"/>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07A"/>
    <w:rsid w:val="00270172"/>
    <w:rsid w:val="002703EA"/>
    <w:rsid w:val="002741CD"/>
    <w:rsid w:val="002750A4"/>
    <w:rsid w:val="002779B8"/>
    <w:rsid w:val="002804E5"/>
    <w:rsid w:val="00287368"/>
    <w:rsid w:val="00290615"/>
    <w:rsid w:val="002A1821"/>
    <w:rsid w:val="002A6673"/>
    <w:rsid w:val="002B1949"/>
    <w:rsid w:val="002B4DA5"/>
    <w:rsid w:val="002C0B4D"/>
    <w:rsid w:val="002C1AB2"/>
    <w:rsid w:val="002C5320"/>
    <w:rsid w:val="002D79C5"/>
    <w:rsid w:val="002E1330"/>
    <w:rsid w:val="002E291A"/>
    <w:rsid w:val="002E354E"/>
    <w:rsid w:val="002E355D"/>
    <w:rsid w:val="002F4156"/>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534C"/>
    <w:rsid w:val="00370BF3"/>
    <w:rsid w:val="00371F31"/>
    <w:rsid w:val="00373E5B"/>
    <w:rsid w:val="003802FB"/>
    <w:rsid w:val="003826D4"/>
    <w:rsid w:val="00383C9E"/>
    <w:rsid w:val="00385595"/>
    <w:rsid w:val="00391626"/>
    <w:rsid w:val="003918C8"/>
    <w:rsid w:val="0039619C"/>
    <w:rsid w:val="003970D5"/>
    <w:rsid w:val="003A001E"/>
    <w:rsid w:val="003A079E"/>
    <w:rsid w:val="003A1E3E"/>
    <w:rsid w:val="003A1EB3"/>
    <w:rsid w:val="003A5038"/>
    <w:rsid w:val="003A6AAB"/>
    <w:rsid w:val="003A6EC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5FD3"/>
    <w:rsid w:val="004165AD"/>
    <w:rsid w:val="00416F6B"/>
    <w:rsid w:val="00423101"/>
    <w:rsid w:val="0043393A"/>
    <w:rsid w:val="0043738A"/>
    <w:rsid w:val="0044319B"/>
    <w:rsid w:val="00443B47"/>
    <w:rsid w:val="00444FCF"/>
    <w:rsid w:val="00454D47"/>
    <w:rsid w:val="004576EC"/>
    <w:rsid w:val="004578CE"/>
    <w:rsid w:val="0046271C"/>
    <w:rsid w:val="00466D5C"/>
    <w:rsid w:val="00473124"/>
    <w:rsid w:val="004751C7"/>
    <w:rsid w:val="004804B2"/>
    <w:rsid w:val="00480865"/>
    <w:rsid w:val="0048182D"/>
    <w:rsid w:val="004833F2"/>
    <w:rsid w:val="00483713"/>
    <w:rsid w:val="00483A71"/>
    <w:rsid w:val="00494F89"/>
    <w:rsid w:val="0049639E"/>
    <w:rsid w:val="004A043C"/>
    <w:rsid w:val="004A0BC8"/>
    <w:rsid w:val="004A2C9C"/>
    <w:rsid w:val="004A2CA6"/>
    <w:rsid w:val="004A5A5A"/>
    <w:rsid w:val="004A61E0"/>
    <w:rsid w:val="004B393E"/>
    <w:rsid w:val="004B411E"/>
    <w:rsid w:val="004C1B4D"/>
    <w:rsid w:val="004D1F97"/>
    <w:rsid w:val="004D30E6"/>
    <w:rsid w:val="004E2509"/>
    <w:rsid w:val="004E2C81"/>
    <w:rsid w:val="004E3D0A"/>
    <w:rsid w:val="004E7D99"/>
    <w:rsid w:val="004F24DB"/>
    <w:rsid w:val="004F352F"/>
    <w:rsid w:val="00504175"/>
    <w:rsid w:val="00504559"/>
    <w:rsid w:val="00504EEE"/>
    <w:rsid w:val="0050729A"/>
    <w:rsid w:val="00507977"/>
    <w:rsid w:val="00507DC5"/>
    <w:rsid w:val="00513832"/>
    <w:rsid w:val="005144DB"/>
    <w:rsid w:val="00516938"/>
    <w:rsid w:val="00516DBC"/>
    <w:rsid w:val="00523296"/>
    <w:rsid w:val="00533CFD"/>
    <w:rsid w:val="0053685B"/>
    <w:rsid w:val="00550DB3"/>
    <w:rsid w:val="0056149A"/>
    <w:rsid w:val="00571E4F"/>
    <w:rsid w:val="00572A66"/>
    <w:rsid w:val="00574CF9"/>
    <w:rsid w:val="00581D6A"/>
    <w:rsid w:val="005852D5"/>
    <w:rsid w:val="00591600"/>
    <w:rsid w:val="00591960"/>
    <w:rsid w:val="00593A42"/>
    <w:rsid w:val="00597BEB"/>
    <w:rsid w:val="00597D38"/>
    <w:rsid w:val="005A1B26"/>
    <w:rsid w:val="005A2805"/>
    <w:rsid w:val="005A289B"/>
    <w:rsid w:val="005A48F3"/>
    <w:rsid w:val="005A673C"/>
    <w:rsid w:val="005A728A"/>
    <w:rsid w:val="005A7A13"/>
    <w:rsid w:val="005B075B"/>
    <w:rsid w:val="005B679F"/>
    <w:rsid w:val="005B6E87"/>
    <w:rsid w:val="005C4DB3"/>
    <w:rsid w:val="005C5132"/>
    <w:rsid w:val="005C7F62"/>
    <w:rsid w:val="005D2FE6"/>
    <w:rsid w:val="005D3F69"/>
    <w:rsid w:val="005D7F49"/>
    <w:rsid w:val="005E36FF"/>
    <w:rsid w:val="005E461E"/>
    <w:rsid w:val="005E60E2"/>
    <w:rsid w:val="005E7AB7"/>
    <w:rsid w:val="005F5FB9"/>
    <w:rsid w:val="005F7350"/>
    <w:rsid w:val="006001CA"/>
    <w:rsid w:val="00601110"/>
    <w:rsid w:val="00603AC2"/>
    <w:rsid w:val="00603CB7"/>
    <w:rsid w:val="00611EB5"/>
    <w:rsid w:val="0061413B"/>
    <w:rsid w:val="00617889"/>
    <w:rsid w:val="006244F4"/>
    <w:rsid w:val="0062691A"/>
    <w:rsid w:val="00633476"/>
    <w:rsid w:val="00636BEB"/>
    <w:rsid w:val="006370DF"/>
    <w:rsid w:val="00641123"/>
    <w:rsid w:val="00642F46"/>
    <w:rsid w:val="006466CB"/>
    <w:rsid w:val="00647577"/>
    <w:rsid w:val="006501CE"/>
    <w:rsid w:val="006532F2"/>
    <w:rsid w:val="006550D8"/>
    <w:rsid w:val="006633E0"/>
    <w:rsid w:val="00672A0E"/>
    <w:rsid w:val="00673614"/>
    <w:rsid w:val="0068547F"/>
    <w:rsid w:val="006946CE"/>
    <w:rsid w:val="00695203"/>
    <w:rsid w:val="006A10DF"/>
    <w:rsid w:val="006A143D"/>
    <w:rsid w:val="006A57E4"/>
    <w:rsid w:val="006A6A7B"/>
    <w:rsid w:val="006B10F7"/>
    <w:rsid w:val="006B1D6B"/>
    <w:rsid w:val="006B2A25"/>
    <w:rsid w:val="006C0A2C"/>
    <w:rsid w:val="006D2BCD"/>
    <w:rsid w:val="006D382D"/>
    <w:rsid w:val="006D555D"/>
    <w:rsid w:val="006E1C73"/>
    <w:rsid w:val="006E6397"/>
    <w:rsid w:val="006F6E46"/>
    <w:rsid w:val="007045F9"/>
    <w:rsid w:val="00706A70"/>
    <w:rsid w:val="007130D6"/>
    <w:rsid w:val="00714314"/>
    <w:rsid w:val="007164BD"/>
    <w:rsid w:val="00716BCC"/>
    <w:rsid w:val="007176F3"/>
    <w:rsid w:val="00721EE8"/>
    <w:rsid w:val="007342C5"/>
    <w:rsid w:val="00735DF8"/>
    <w:rsid w:val="0073777A"/>
    <w:rsid w:val="0074040B"/>
    <w:rsid w:val="00741A49"/>
    <w:rsid w:val="00742144"/>
    <w:rsid w:val="007511E4"/>
    <w:rsid w:val="00761FA8"/>
    <w:rsid w:val="00762499"/>
    <w:rsid w:val="00762843"/>
    <w:rsid w:val="00765CED"/>
    <w:rsid w:val="00773161"/>
    <w:rsid w:val="00777338"/>
    <w:rsid w:val="00782755"/>
    <w:rsid w:val="00783B89"/>
    <w:rsid w:val="00790B1F"/>
    <w:rsid w:val="00791F9C"/>
    <w:rsid w:val="00794287"/>
    <w:rsid w:val="0079574D"/>
    <w:rsid w:val="00795B5F"/>
    <w:rsid w:val="00796944"/>
    <w:rsid w:val="00796CF4"/>
    <w:rsid w:val="007974EB"/>
    <w:rsid w:val="007A1A57"/>
    <w:rsid w:val="007A400F"/>
    <w:rsid w:val="007A46E1"/>
    <w:rsid w:val="007A4E9C"/>
    <w:rsid w:val="007A64C7"/>
    <w:rsid w:val="007B2D74"/>
    <w:rsid w:val="007B3DEE"/>
    <w:rsid w:val="007B3F25"/>
    <w:rsid w:val="007B61D0"/>
    <w:rsid w:val="007B7D2E"/>
    <w:rsid w:val="007C1F04"/>
    <w:rsid w:val="007C2E8E"/>
    <w:rsid w:val="007C4454"/>
    <w:rsid w:val="007D10F7"/>
    <w:rsid w:val="007D236B"/>
    <w:rsid w:val="007D2436"/>
    <w:rsid w:val="007D3944"/>
    <w:rsid w:val="007E0446"/>
    <w:rsid w:val="007E11F2"/>
    <w:rsid w:val="007E3A44"/>
    <w:rsid w:val="007F3360"/>
    <w:rsid w:val="007F3E82"/>
    <w:rsid w:val="007F44E5"/>
    <w:rsid w:val="0080492E"/>
    <w:rsid w:val="00804B5D"/>
    <w:rsid w:val="00807773"/>
    <w:rsid w:val="008110DF"/>
    <w:rsid w:val="008117E5"/>
    <w:rsid w:val="00813C43"/>
    <w:rsid w:val="008150B2"/>
    <w:rsid w:val="008161B2"/>
    <w:rsid w:val="00823036"/>
    <w:rsid w:val="008246F4"/>
    <w:rsid w:val="008279AC"/>
    <w:rsid w:val="0083062F"/>
    <w:rsid w:val="00833E1A"/>
    <w:rsid w:val="008356DA"/>
    <w:rsid w:val="0084086C"/>
    <w:rsid w:val="00843E7D"/>
    <w:rsid w:val="008446F5"/>
    <w:rsid w:val="008453E1"/>
    <w:rsid w:val="00855B6B"/>
    <w:rsid w:val="008569D3"/>
    <w:rsid w:val="008575F4"/>
    <w:rsid w:val="00864C89"/>
    <w:rsid w:val="008704B7"/>
    <w:rsid w:val="00871FD3"/>
    <w:rsid w:val="00874BBC"/>
    <w:rsid w:val="00880244"/>
    <w:rsid w:val="00882F0D"/>
    <w:rsid w:val="00890A01"/>
    <w:rsid w:val="0089135E"/>
    <w:rsid w:val="00891439"/>
    <w:rsid w:val="008A57E3"/>
    <w:rsid w:val="008B1F42"/>
    <w:rsid w:val="008B4DD7"/>
    <w:rsid w:val="008B6516"/>
    <w:rsid w:val="008B7E87"/>
    <w:rsid w:val="008C2815"/>
    <w:rsid w:val="008C4F51"/>
    <w:rsid w:val="008C6B3F"/>
    <w:rsid w:val="008D34AA"/>
    <w:rsid w:val="008D7432"/>
    <w:rsid w:val="008E2D28"/>
    <w:rsid w:val="008E5D48"/>
    <w:rsid w:val="008E7488"/>
    <w:rsid w:val="008E7FEE"/>
    <w:rsid w:val="008F0248"/>
    <w:rsid w:val="008F14B2"/>
    <w:rsid w:val="008F3E53"/>
    <w:rsid w:val="008F5FA1"/>
    <w:rsid w:val="008F7C42"/>
    <w:rsid w:val="009033AC"/>
    <w:rsid w:val="00913528"/>
    <w:rsid w:val="00914794"/>
    <w:rsid w:val="00914865"/>
    <w:rsid w:val="00917197"/>
    <w:rsid w:val="0091755C"/>
    <w:rsid w:val="00926A2E"/>
    <w:rsid w:val="00931844"/>
    <w:rsid w:val="00931FD4"/>
    <w:rsid w:val="00936CB8"/>
    <w:rsid w:val="009373C2"/>
    <w:rsid w:val="0094025E"/>
    <w:rsid w:val="00945920"/>
    <w:rsid w:val="00953D87"/>
    <w:rsid w:val="00955581"/>
    <w:rsid w:val="009564EE"/>
    <w:rsid w:val="009619AE"/>
    <w:rsid w:val="00965469"/>
    <w:rsid w:val="009664A1"/>
    <w:rsid w:val="0096709D"/>
    <w:rsid w:val="0097099E"/>
    <w:rsid w:val="0097235D"/>
    <w:rsid w:val="00973BFC"/>
    <w:rsid w:val="00973DB0"/>
    <w:rsid w:val="009760A9"/>
    <w:rsid w:val="009762D5"/>
    <w:rsid w:val="00977C61"/>
    <w:rsid w:val="0098286B"/>
    <w:rsid w:val="009A4894"/>
    <w:rsid w:val="009A4D48"/>
    <w:rsid w:val="009A5DB1"/>
    <w:rsid w:val="009B19EE"/>
    <w:rsid w:val="009B37B4"/>
    <w:rsid w:val="009B5510"/>
    <w:rsid w:val="009C1A37"/>
    <w:rsid w:val="009C3103"/>
    <w:rsid w:val="009C5307"/>
    <w:rsid w:val="009D2CEE"/>
    <w:rsid w:val="009E040B"/>
    <w:rsid w:val="009E04A1"/>
    <w:rsid w:val="009E1D07"/>
    <w:rsid w:val="009E7E2B"/>
    <w:rsid w:val="009F0396"/>
    <w:rsid w:val="009F163A"/>
    <w:rsid w:val="009F509D"/>
    <w:rsid w:val="009F530F"/>
    <w:rsid w:val="009F5663"/>
    <w:rsid w:val="00A00E6E"/>
    <w:rsid w:val="00A1463B"/>
    <w:rsid w:val="00A231E9"/>
    <w:rsid w:val="00A25718"/>
    <w:rsid w:val="00A25B0B"/>
    <w:rsid w:val="00A27E3A"/>
    <w:rsid w:val="00A323FE"/>
    <w:rsid w:val="00A32B37"/>
    <w:rsid w:val="00A370C6"/>
    <w:rsid w:val="00A40A76"/>
    <w:rsid w:val="00A454BF"/>
    <w:rsid w:val="00A503C4"/>
    <w:rsid w:val="00A50731"/>
    <w:rsid w:val="00A55FDC"/>
    <w:rsid w:val="00A80B6E"/>
    <w:rsid w:val="00A9036D"/>
    <w:rsid w:val="00A90E38"/>
    <w:rsid w:val="00A90E43"/>
    <w:rsid w:val="00A91FC7"/>
    <w:rsid w:val="00A928D5"/>
    <w:rsid w:val="00A9537C"/>
    <w:rsid w:val="00AA1142"/>
    <w:rsid w:val="00AA28B5"/>
    <w:rsid w:val="00AA4836"/>
    <w:rsid w:val="00AA6BF2"/>
    <w:rsid w:val="00AA7261"/>
    <w:rsid w:val="00AB2A51"/>
    <w:rsid w:val="00AB2D32"/>
    <w:rsid w:val="00AB55FC"/>
    <w:rsid w:val="00AB67FE"/>
    <w:rsid w:val="00AC1FA6"/>
    <w:rsid w:val="00AD06CB"/>
    <w:rsid w:val="00AD06D5"/>
    <w:rsid w:val="00AD1A1C"/>
    <w:rsid w:val="00AD1F7D"/>
    <w:rsid w:val="00AE4F6F"/>
    <w:rsid w:val="00B0700F"/>
    <w:rsid w:val="00B076C7"/>
    <w:rsid w:val="00B1133D"/>
    <w:rsid w:val="00B14047"/>
    <w:rsid w:val="00B14107"/>
    <w:rsid w:val="00B1669F"/>
    <w:rsid w:val="00B17C66"/>
    <w:rsid w:val="00B22104"/>
    <w:rsid w:val="00B2238A"/>
    <w:rsid w:val="00B2334C"/>
    <w:rsid w:val="00B24F85"/>
    <w:rsid w:val="00B327DC"/>
    <w:rsid w:val="00B3385F"/>
    <w:rsid w:val="00B34663"/>
    <w:rsid w:val="00B3575F"/>
    <w:rsid w:val="00B35E63"/>
    <w:rsid w:val="00B41360"/>
    <w:rsid w:val="00B41561"/>
    <w:rsid w:val="00B41D6B"/>
    <w:rsid w:val="00B41EAD"/>
    <w:rsid w:val="00B437B5"/>
    <w:rsid w:val="00B44DA8"/>
    <w:rsid w:val="00B45011"/>
    <w:rsid w:val="00B518D4"/>
    <w:rsid w:val="00B52279"/>
    <w:rsid w:val="00B52F24"/>
    <w:rsid w:val="00B5418D"/>
    <w:rsid w:val="00B5595C"/>
    <w:rsid w:val="00B6235E"/>
    <w:rsid w:val="00B62A55"/>
    <w:rsid w:val="00B72FC4"/>
    <w:rsid w:val="00B75012"/>
    <w:rsid w:val="00B76561"/>
    <w:rsid w:val="00B77317"/>
    <w:rsid w:val="00B85E30"/>
    <w:rsid w:val="00B94EAC"/>
    <w:rsid w:val="00B96569"/>
    <w:rsid w:val="00BA599F"/>
    <w:rsid w:val="00BA7DBE"/>
    <w:rsid w:val="00BA7E4F"/>
    <w:rsid w:val="00BA7E58"/>
    <w:rsid w:val="00BB63D7"/>
    <w:rsid w:val="00BB6A9B"/>
    <w:rsid w:val="00BC0795"/>
    <w:rsid w:val="00BC2F0F"/>
    <w:rsid w:val="00BD47CC"/>
    <w:rsid w:val="00BD7015"/>
    <w:rsid w:val="00BD7A6A"/>
    <w:rsid w:val="00BE049C"/>
    <w:rsid w:val="00BF2037"/>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3C9D"/>
    <w:rsid w:val="00C36A03"/>
    <w:rsid w:val="00C40AE9"/>
    <w:rsid w:val="00C51757"/>
    <w:rsid w:val="00C51B37"/>
    <w:rsid w:val="00C534D3"/>
    <w:rsid w:val="00C53718"/>
    <w:rsid w:val="00C547A9"/>
    <w:rsid w:val="00C5640A"/>
    <w:rsid w:val="00C60FB0"/>
    <w:rsid w:val="00C65FA8"/>
    <w:rsid w:val="00C66DC1"/>
    <w:rsid w:val="00C708A2"/>
    <w:rsid w:val="00C70D36"/>
    <w:rsid w:val="00C77307"/>
    <w:rsid w:val="00C8730B"/>
    <w:rsid w:val="00C87902"/>
    <w:rsid w:val="00C87CDB"/>
    <w:rsid w:val="00CA16E0"/>
    <w:rsid w:val="00CB06A5"/>
    <w:rsid w:val="00CB65CE"/>
    <w:rsid w:val="00CC0C76"/>
    <w:rsid w:val="00CC6863"/>
    <w:rsid w:val="00CD153D"/>
    <w:rsid w:val="00CD26FD"/>
    <w:rsid w:val="00CD2804"/>
    <w:rsid w:val="00CD2870"/>
    <w:rsid w:val="00CD52F7"/>
    <w:rsid w:val="00CE5459"/>
    <w:rsid w:val="00CE5DA7"/>
    <w:rsid w:val="00CF744E"/>
    <w:rsid w:val="00CF774D"/>
    <w:rsid w:val="00D01238"/>
    <w:rsid w:val="00D01FB6"/>
    <w:rsid w:val="00D02E36"/>
    <w:rsid w:val="00D043E3"/>
    <w:rsid w:val="00D07301"/>
    <w:rsid w:val="00D10167"/>
    <w:rsid w:val="00D103FF"/>
    <w:rsid w:val="00D126E2"/>
    <w:rsid w:val="00D12784"/>
    <w:rsid w:val="00D12FAF"/>
    <w:rsid w:val="00D20CB7"/>
    <w:rsid w:val="00D212A8"/>
    <w:rsid w:val="00D22726"/>
    <w:rsid w:val="00D24D20"/>
    <w:rsid w:val="00D25CEC"/>
    <w:rsid w:val="00D26DF2"/>
    <w:rsid w:val="00D318C0"/>
    <w:rsid w:val="00D32A48"/>
    <w:rsid w:val="00D334D6"/>
    <w:rsid w:val="00D42B7F"/>
    <w:rsid w:val="00D45FCF"/>
    <w:rsid w:val="00D47B2D"/>
    <w:rsid w:val="00D524F1"/>
    <w:rsid w:val="00D60210"/>
    <w:rsid w:val="00D623B1"/>
    <w:rsid w:val="00D63B30"/>
    <w:rsid w:val="00D66C70"/>
    <w:rsid w:val="00D674A7"/>
    <w:rsid w:val="00D70BC0"/>
    <w:rsid w:val="00D7193F"/>
    <w:rsid w:val="00D71A5B"/>
    <w:rsid w:val="00D73B92"/>
    <w:rsid w:val="00D75A74"/>
    <w:rsid w:val="00D768E9"/>
    <w:rsid w:val="00D83860"/>
    <w:rsid w:val="00D918C1"/>
    <w:rsid w:val="00D930AD"/>
    <w:rsid w:val="00D94A91"/>
    <w:rsid w:val="00D96775"/>
    <w:rsid w:val="00DB0CB8"/>
    <w:rsid w:val="00DB3148"/>
    <w:rsid w:val="00DB5A81"/>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139E9"/>
    <w:rsid w:val="00E2192C"/>
    <w:rsid w:val="00E40C03"/>
    <w:rsid w:val="00E468D9"/>
    <w:rsid w:val="00E51BA7"/>
    <w:rsid w:val="00E5288E"/>
    <w:rsid w:val="00E5719E"/>
    <w:rsid w:val="00E60569"/>
    <w:rsid w:val="00E62C56"/>
    <w:rsid w:val="00E63D1A"/>
    <w:rsid w:val="00E64CDA"/>
    <w:rsid w:val="00E71EF0"/>
    <w:rsid w:val="00E8008C"/>
    <w:rsid w:val="00E8102D"/>
    <w:rsid w:val="00E8649E"/>
    <w:rsid w:val="00E90B23"/>
    <w:rsid w:val="00E94146"/>
    <w:rsid w:val="00E94DE3"/>
    <w:rsid w:val="00E94F24"/>
    <w:rsid w:val="00E954B7"/>
    <w:rsid w:val="00E95A43"/>
    <w:rsid w:val="00E95EE6"/>
    <w:rsid w:val="00E9672B"/>
    <w:rsid w:val="00E96A9B"/>
    <w:rsid w:val="00E97E19"/>
    <w:rsid w:val="00EA0066"/>
    <w:rsid w:val="00EA0E33"/>
    <w:rsid w:val="00EA2394"/>
    <w:rsid w:val="00EA368D"/>
    <w:rsid w:val="00EB4C68"/>
    <w:rsid w:val="00EC3483"/>
    <w:rsid w:val="00EC6C15"/>
    <w:rsid w:val="00ED3F4A"/>
    <w:rsid w:val="00ED464C"/>
    <w:rsid w:val="00EE1BC9"/>
    <w:rsid w:val="00EE6712"/>
    <w:rsid w:val="00EE6DB7"/>
    <w:rsid w:val="00EF577D"/>
    <w:rsid w:val="00EF5DFE"/>
    <w:rsid w:val="00F04DEA"/>
    <w:rsid w:val="00F073A6"/>
    <w:rsid w:val="00F10538"/>
    <w:rsid w:val="00F11015"/>
    <w:rsid w:val="00F114D1"/>
    <w:rsid w:val="00F22869"/>
    <w:rsid w:val="00F24D04"/>
    <w:rsid w:val="00F24D4A"/>
    <w:rsid w:val="00F25A36"/>
    <w:rsid w:val="00F26F13"/>
    <w:rsid w:val="00F31B41"/>
    <w:rsid w:val="00F34704"/>
    <w:rsid w:val="00F47D9F"/>
    <w:rsid w:val="00F52A49"/>
    <w:rsid w:val="00F54BC0"/>
    <w:rsid w:val="00F5703F"/>
    <w:rsid w:val="00F61813"/>
    <w:rsid w:val="00F63841"/>
    <w:rsid w:val="00F64E4D"/>
    <w:rsid w:val="00F71062"/>
    <w:rsid w:val="00F734B5"/>
    <w:rsid w:val="00F76545"/>
    <w:rsid w:val="00F76639"/>
    <w:rsid w:val="00F768EB"/>
    <w:rsid w:val="00F7757C"/>
    <w:rsid w:val="00F82512"/>
    <w:rsid w:val="00F84051"/>
    <w:rsid w:val="00F853EC"/>
    <w:rsid w:val="00F85A6B"/>
    <w:rsid w:val="00F86011"/>
    <w:rsid w:val="00F8781A"/>
    <w:rsid w:val="00F94C72"/>
    <w:rsid w:val="00FB0C78"/>
    <w:rsid w:val="00FB3507"/>
    <w:rsid w:val="00FB36F6"/>
    <w:rsid w:val="00FB77AC"/>
    <w:rsid w:val="00FC0A41"/>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9"/>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5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qFormat/>
    <w:rsid w:val="008E2D28"/>
    <w:pPr>
      <w:spacing w:line="240" w:lineRule="auto"/>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customStyle="1" w:styleId="UnresolvedMention1">
    <w:name w:val="Unresolved Mention1"/>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semiHidden/>
    <w:unhideWhenUsed/>
    <w:rsid w:val="001C5A59"/>
    <w:rPr>
      <w:color w:val="800080" w:themeColor="followedHyperlink"/>
      <w:u w:val="single"/>
    </w:rPr>
  </w:style>
  <w:style w:type="paragraph" w:customStyle="1" w:styleId="Requirement">
    <w:name w:val="Requirement"/>
    <w:basedOn w:val="List2"/>
    <w:rsid w:val="00E51BA7"/>
    <w:pPr>
      <w:numPr>
        <w:numId w:val="45"/>
      </w:numPr>
      <w:tabs>
        <w:tab w:val="clear" w:pos="936"/>
        <w:tab w:val="num" w:pos="1080"/>
      </w:tabs>
      <w:spacing w:line="240" w:lineRule="auto"/>
      <w:ind w:left="1080" w:hanging="360"/>
      <w:contextualSpacing w:val="0"/>
    </w:pPr>
    <w:rPr>
      <w:rFonts w:ascii="Times New Roman" w:eastAsia="Times New Roman" w:hAnsi="Times New Roman" w:cs="Times New Roman"/>
      <w:sz w:val="24"/>
      <w:szCs w:val="24"/>
    </w:rPr>
  </w:style>
  <w:style w:type="paragraph" w:styleId="List2">
    <w:name w:val="List 2"/>
    <w:basedOn w:val="Normal"/>
    <w:uiPriority w:val="99"/>
    <w:semiHidden/>
    <w:unhideWhenUsed/>
    <w:rsid w:val="00E51BA7"/>
    <w:pPr>
      <w:ind w:left="720" w:hanging="360"/>
      <w:contextualSpacing/>
    </w:pPr>
  </w:style>
  <w:style w:type="paragraph" w:customStyle="1" w:styleId="Default">
    <w:name w:val="Default"/>
    <w:rsid w:val="004833F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338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00224700">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21468605">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172261675">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572348610">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693725907">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mailto:sblack@wec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cc.org/Standards/pages/wecc-0153.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650</Value>
      <Value>649</Value>
      <Value>2426</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s>
    </TaxKeywordTaxHTField>
    <Approver xmlns="4bd63098-0c83-43cf-abdd-085f2cc55a51">
      <UserInfo>
        <DisplayName>Crane, Donovan</DisplayName>
        <AccountId>6264</AccountId>
        <AccountType/>
      </UserInfo>
    </Approver>
    <_dlc_DocId xmlns="4bd63098-0c83-43cf-abdd-085f2cc55a51">YWEQ7USXTMD7-3-13811</_dlc_DocId>
    <_dlc_DocIdUrl xmlns="4bd63098-0c83-43cf-abdd-085f2cc55a51">
      <Url>https://internal.wecc.org/_layouts/15/DocIdRedir.aspx?ID=YWEQ7USXTMD7-3-13811</Url>
      <Description>YWEQ7USXTMD7-3-13811</Description>
    </_dlc_DocIdUrl>
    <Standard_x0020_Family xmlns="2fb8a92a-9032-49d6-b983-191f0a73b01f">INT</Standard_x0020_Family>
    <Jurisdiction xmlns="2fb8a92a-9032-49d6-b983-191f0a73b01f"/>
    <Other_x0020_Reliability_x0020_Documents xmlns="2fb8a92a-9032-49d6-b983-191f0a73b01f" xsi:nil="true"/>
    <Adopted_x002f_Approved_x0020_By xmlns="2fb8a92a-9032-49d6-b983-191f0a73b01f">WSC</Adopted_x002f_Approved_x0020_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1C2F6F-C2B0-4F4B-A65B-516A27A1AB5B}"/>
</file>

<file path=customXml/itemProps2.xml><?xml version="1.0" encoding="utf-8"?>
<ds:datastoreItem xmlns:ds="http://schemas.openxmlformats.org/officeDocument/2006/customXml" ds:itemID="{6E908C26-545D-4C22-946C-1FC109895BB3}">
  <ds:schemaRefs>
    <ds:schemaRef ds:uri="http://schemas.openxmlformats.org/officeDocument/2006/bibliography"/>
  </ds:schemaRefs>
</ds:datastoreItem>
</file>

<file path=customXml/itemProps3.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4.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af5166d4-db57-4568-8cb8-eee8eab5b2c1"/>
  </ds:schemaRefs>
</ds:datastoreItem>
</file>

<file path=customXml/itemProps5.xml><?xml version="1.0" encoding="utf-8"?>
<ds:datastoreItem xmlns:ds="http://schemas.openxmlformats.org/officeDocument/2006/customXml" ds:itemID="{2E9776DA-203C-4BA8-AB64-5D86838C2808}"/>
</file>

<file path=docProps/app.xml><?xml version="1.0" encoding="utf-8"?>
<Properties xmlns="http://schemas.openxmlformats.org/officeDocument/2006/extended-properties" xmlns:vt="http://schemas.openxmlformats.org/officeDocument/2006/docPropsVTypes">
  <Template>BasicDocument</Template>
  <TotalTime>3</TotalTime>
  <Pages>3</Pages>
  <Words>538</Words>
  <Characters>3071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WECC-0150 PRC-001-WECC-CRT-3 Governor Droop - Posting 1 - Response to Comments - Clean From Tech</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3 - Response to Comments - To Tech</dc:title>
  <dc:subject/>
  <dc:creator>Coleman, Chad</dc:creator>
  <cp:keywords>WECC-0153; Submit and Review Comments; Response to Comments</cp:keywords>
  <dc:description/>
  <cp:lastModifiedBy>Black, Shannon</cp:lastModifiedBy>
  <cp:revision>2</cp:revision>
  <cp:lastPrinted>2022-04-28T17:25:00Z</cp:lastPrinted>
  <dcterms:created xsi:type="dcterms:W3CDTF">2024-03-14T20:54:00Z</dcterms:created>
  <dcterms:modified xsi:type="dcterms:W3CDTF">2024-03-14T20:54:00Z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cf3d4f0f-2233-4d85-91af-99ccb7b960b4</vt:lpwstr>
  </property>
  <property fmtid="{D5CDD505-2E9C-101B-9397-08002B2CF9AE}" pid="4" name="TaxKeyword">
    <vt:lpwstr>2426;#WECC-0153|c2d133ad-89d4-4604-b297-a7a74a2bf033;#649;#Response to Comments|11e89315-5f91-42b8-b495-7f5efcb08566;#650;#Submit and Review Comments|b87a555a-b3e8-4e12-b0c3-be4bd0ab7d0f</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2023-05-17T19:22:34Z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04562045-b1d2-4d2e-828d-927af5ed5f4e</vt:lpwstr>
  </property>
  <property fmtid="{D5CDD505-2E9C-101B-9397-08002B2CF9AE}" pid="14" name="MSIP_Label_878e9819-3d07-47f7-9697-834686d925a0_ContentBits">
    <vt:lpwstr>1</vt:lpwstr>
  </property>
  <property fmtid="{D5CDD505-2E9C-101B-9397-08002B2CF9AE}" pid="15" name="Standard Family">
    <vt:lpwstr>INT</vt:lpwstr>
  </property>
  <property fmtid="{D5CDD505-2E9C-101B-9397-08002B2CF9AE}" pid="18" name="Adopted/Approved By">
    <vt:lpwstr>WSC</vt:lpwstr>
  </property>
</Properties>
</file>