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5C3E8286" w:rsidR="00323BC9" w:rsidRDefault="0053685B" w:rsidP="00E60569">
      <w:pPr>
        <w:pStyle w:val="Heading1"/>
      </w:pPr>
      <w:r>
        <w:t xml:space="preserve">Posting </w:t>
      </w:r>
      <w:r w:rsidR="004B411E">
        <w:t>2</w:t>
      </w:r>
    </w:p>
    <w:p w14:paraId="04529282" w14:textId="589F0DBC" w:rsidR="0053685B" w:rsidRDefault="0053685B" w:rsidP="00CB6708">
      <w:pPr>
        <w:pStyle w:val="Heading2"/>
        <w:tabs>
          <w:tab w:val="left" w:pos="2656"/>
        </w:tabs>
      </w:pPr>
      <w:r>
        <w:t>Posting</w:t>
      </w:r>
      <w:r w:rsidR="00CB6708">
        <w:tab/>
      </w:r>
    </w:p>
    <w:p w14:paraId="70E32AD8" w14:textId="77777777" w:rsidR="004B411E" w:rsidRDefault="0094025E" w:rsidP="00E8649E">
      <w:bookmarkStart w:id="0" w:name="_Hlk17896249"/>
      <w:r>
        <w:t>Th</w:t>
      </w:r>
      <w:r w:rsidR="00A27E3A">
        <w:t xml:space="preserve">is project was posted </w:t>
      </w:r>
      <w:r>
        <w:t>for comment from</w:t>
      </w:r>
      <w:r w:rsidR="00A27E3A">
        <w:t xml:space="preserve"> </w:t>
      </w:r>
      <w:r w:rsidR="004B411E">
        <w:t xml:space="preserve">November 24, 2023, through January 8, 2024. </w:t>
      </w:r>
    </w:p>
    <w:p w14:paraId="6D06B29D" w14:textId="2ECAEA75" w:rsidR="00807773" w:rsidRDefault="0053685B" w:rsidP="00E8649E">
      <w:r w:rsidRPr="00BC2F0F">
        <w:t xml:space="preserve">WECC distributed notice for the </w:t>
      </w:r>
      <w:r w:rsidR="00DE4285" w:rsidRPr="00BC2F0F">
        <w:t xml:space="preserve">posting on </w:t>
      </w:r>
      <w:r w:rsidR="004B411E">
        <w:t>November 24, 2023.</w:t>
      </w:r>
      <w:r w:rsidR="00D05D9E">
        <w:t xml:space="preserve"> </w:t>
      </w:r>
      <w:r w:rsidRPr="00BC2F0F">
        <w:t xml:space="preserve">The </w:t>
      </w:r>
      <w:r w:rsidR="00AA6BF2">
        <w:t>WECC-01</w:t>
      </w:r>
      <w:r w:rsidR="00BE049C">
        <w:t xml:space="preserve">53 INT Consolidated </w:t>
      </w:r>
      <w:r w:rsidR="00D05D9E">
        <w:t>C</w:t>
      </w:r>
      <w:r w:rsidR="00BE049C">
        <w:t xml:space="preserve">riterion (ICC) Drafting Team (DT) </w:t>
      </w:r>
      <w:r w:rsidRPr="00BC2F0F">
        <w:t>asked stakeholders to provide feedback on the proposed document</w:t>
      </w:r>
      <w:r w:rsidR="008D7432" w:rsidRPr="00BC2F0F">
        <w:t>(</w:t>
      </w:r>
      <w:r w:rsidR="00B437B5" w:rsidRPr="00BC2F0F">
        <w:t>s</w:t>
      </w:r>
      <w:r w:rsidR="008D7432" w:rsidRPr="00BC2F0F">
        <w:t>)</w:t>
      </w:r>
      <w:r w:rsidRPr="00BC2F0F">
        <w:t xml:space="preserve"> through a standardized </w:t>
      </w:r>
      <w:r w:rsidR="003E4CC0" w:rsidRPr="00BC2F0F">
        <w:t>WECC-provided web portal.</w:t>
      </w:r>
      <w:r w:rsidR="00216976">
        <w:t xml:space="preserve"> </w:t>
      </w:r>
    </w:p>
    <w:p w14:paraId="0F1A4096" w14:textId="13CE0E4B" w:rsidR="00AA6BF2" w:rsidRDefault="00BE049C" w:rsidP="00E8649E">
      <w:r>
        <w:t xml:space="preserve">Three </w:t>
      </w:r>
      <w:r w:rsidR="00AA6BF2">
        <w:t>comment</w:t>
      </w:r>
      <w:r>
        <w:t>s</w:t>
      </w:r>
      <w:r w:rsidR="004576EC">
        <w:t xml:space="preserve"> </w:t>
      </w:r>
      <w:r>
        <w:t xml:space="preserve">were </w:t>
      </w:r>
      <w:r w:rsidR="004576EC">
        <w:t>received.</w:t>
      </w:r>
      <w:r w:rsidR="007C4454">
        <w:t xml:space="preserve"> </w:t>
      </w:r>
    </w:p>
    <w:p w14:paraId="4344AC0E" w14:textId="77777777" w:rsidR="0053685B" w:rsidRDefault="0053685B" w:rsidP="0053685B">
      <w:pPr>
        <w:pStyle w:val="Heading2"/>
      </w:pPr>
      <w:r>
        <w:t>Location of Comments</w:t>
      </w:r>
    </w:p>
    <w:p w14:paraId="3C8977EB" w14:textId="0B79878A" w:rsidR="0053685B" w:rsidRDefault="00A27E3A" w:rsidP="00E8649E">
      <w:r>
        <w:t xml:space="preserve">Comments can </w:t>
      </w:r>
      <w:r w:rsidR="00FF343F">
        <w:t xml:space="preserve">be </w:t>
      </w:r>
      <w:r w:rsidR="0053685B">
        <w:t>viewed in their original format on the</w:t>
      </w:r>
      <w:r w:rsidR="00BE049C">
        <w:t xml:space="preserve"> </w:t>
      </w:r>
      <w:hyperlink r:id="rId12" w:history="1">
        <w:r w:rsidR="00BE049C">
          <w:rPr>
            <w:rStyle w:val="Hyperlink"/>
          </w:rPr>
          <w:t xml:space="preserve">WECC-0153 </w:t>
        </w:r>
      </w:hyperlink>
      <w:r w:rsidR="0091755C">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6FDBD41B" w14:textId="14C339EB" w:rsidR="008E7A83" w:rsidRDefault="008E7A83" w:rsidP="008E7A83">
      <w:pPr>
        <w:suppressAutoHyphens/>
        <w:spacing w:before="120"/>
      </w:pPr>
      <w:r>
        <w:t>The following changes were made to INT-021-WECC-CRT.</w:t>
      </w:r>
      <w:r w:rsidR="00D05D9E">
        <w:t xml:space="preserve"> </w:t>
      </w:r>
      <w:r>
        <w:t xml:space="preserve">(See the following response for details.) </w:t>
      </w:r>
    </w:p>
    <w:p w14:paraId="421B557D" w14:textId="088BB9F8" w:rsidR="008E7A83" w:rsidRPr="008E7A83" w:rsidRDefault="008E7A83" w:rsidP="00D05D9E">
      <w:pPr>
        <w:pStyle w:val="ListBullet"/>
      </w:pPr>
      <w:r w:rsidRPr="008E7A83">
        <w:t xml:space="preserve">The Purpose statement is proposed for change adopting the </w:t>
      </w:r>
      <w:r>
        <w:t>phrase “</w:t>
      </w:r>
      <w:r w:rsidRPr="008E7A83">
        <w:t>NAESB e-Tag Authority Service</w:t>
      </w:r>
      <w:r>
        <w:t>”</w:t>
      </w:r>
      <w:r w:rsidRPr="008E7A83">
        <w:t xml:space="preserve"> in lieu of the Interchange Software.</w:t>
      </w:r>
    </w:p>
    <w:p w14:paraId="2DAB74C1" w14:textId="5F37DC31" w:rsidR="008E7A83" w:rsidRPr="008E7A83" w:rsidRDefault="00553183" w:rsidP="00D05D9E">
      <w:pPr>
        <w:pStyle w:val="ListBullet"/>
      </w:pPr>
      <w:r>
        <w:t xml:space="preserve">INT-020-WECC-CRT, </w:t>
      </w:r>
      <w:r w:rsidR="008E7A83" w:rsidRPr="008E7A83">
        <w:t xml:space="preserve">WR5 is </w:t>
      </w:r>
      <w:r w:rsidR="008E7A83">
        <w:t xml:space="preserve">relocated to </w:t>
      </w:r>
      <w:r w:rsidR="008E7A83" w:rsidRPr="008E7A83">
        <w:t xml:space="preserve">INT-021-WECC-CRT. </w:t>
      </w:r>
    </w:p>
    <w:p w14:paraId="25AAC983" w14:textId="120A7E60" w:rsidR="008E7A83" w:rsidRPr="008E7A83" w:rsidRDefault="008E7A83" w:rsidP="00D05D9E">
      <w:pPr>
        <w:pStyle w:val="ListBullet"/>
      </w:pPr>
      <w:r w:rsidRPr="008E7A83">
        <w:t>WRs 1</w:t>
      </w:r>
      <w:r w:rsidR="00D05D9E">
        <w:t>–</w:t>
      </w:r>
      <w:r w:rsidRPr="008E7A83">
        <w:t xml:space="preserve">8, 11, and 12 are </w:t>
      </w:r>
      <w:r>
        <w:t xml:space="preserve">deleted. </w:t>
      </w:r>
    </w:p>
    <w:p w14:paraId="24015F50" w14:textId="77777777" w:rsidR="008E7A83" w:rsidRPr="008E7A83" w:rsidRDefault="008E7A83" w:rsidP="00D05D9E">
      <w:pPr>
        <w:pStyle w:val="ListBullet"/>
      </w:pPr>
      <w:r w:rsidRPr="008E7A83">
        <w:t>WR 9, 10, and 15 are redrafted.</w:t>
      </w:r>
    </w:p>
    <w:p w14:paraId="63B246CB" w14:textId="0D01A144" w:rsidR="008E7A83" w:rsidRPr="008E7A83" w:rsidRDefault="008E7A83" w:rsidP="00D05D9E">
      <w:pPr>
        <w:pStyle w:val="ListBullet"/>
      </w:pPr>
      <w:r w:rsidRPr="008E7A83">
        <w:t>A supportive narrative is added to the Rationale section.</w:t>
      </w:r>
      <w:r w:rsidR="00D05D9E">
        <w:t xml:space="preserve"> </w:t>
      </w:r>
    </w:p>
    <w:p w14:paraId="09695891" w14:textId="60B52016" w:rsidR="0053685B" w:rsidRPr="006501CE" w:rsidRDefault="0053685B" w:rsidP="00EE6712">
      <w:pPr>
        <w:pStyle w:val="Heading2"/>
      </w:pPr>
      <w:r w:rsidRPr="006501CE">
        <w:t>Minority View</w:t>
      </w:r>
    </w:p>
    <w:bookmarkEnd w:id="0"/>
    <w:p w14:paraId="7D65FDC3" w14:textId="141A889A" w:rsidR="004B411E" w:rsidRDefault="008E7A83" w:rsidP="004576EC">
      <w:pPr>
        <w:pStyle w:val="Heading2"/>
        <w:rPr>
          <w:rFonts w:ascii="Palatino Linotype" w:hAnsi="Palatino Linotype"/>
          <w:b w:val="0"/>
          <w:sz w:val="22"/>
        </w:rPr>
      </w:pPr>
      <w:r w:rsidRPr="008E7A83">
        <w:rPr>
          <w:rFonts w:ascii="Palatino Linotype" w:hAnsi="Palatino Linotype"/>
          <w:b w:val="0"/>
          <w:sz w:val="22"/>
        </w:rPr>
        <w:t xml:space="preserve">There were no minority comments. </w:t>
      </w:r>
    </w:p>
    <w:p w14:paraId="50E72AB8" w14:textId="24BBA914" w:rsidR="004576EC" w:rsidRDefault="009564EE" w:rsidP="004576EC">
      <w:pPr>
        <w:pStyle w:val="Heading2"/>
      </w:pPr>
      <w:bookmarkStart w:id="1" w:name="_Hlk151556897"/>
      <w:r>
        <w:t>Implementation Plan</w:t>
      </w:r>
      <w:r w:rsidR="004E2509">
        <w:t>—</w:t>
      </w:r>
      <w:r>
        <w:t>Justification</w:t>
      </w:r>
    </w:p>
    <w:p w14:paraId="3ED02183" w14:textId="0A48CF4B" w:rsidR="009564EE" w:rsidRPr="000A3533" w:rsidRDefault="009564EE" w:rsidP="00553183">
      <w:pPr>
        <w:pStyle w:val="Normal2"/>
        <w:ind w:left="0" w:firstLine="720"/>
        <w:rPr>
          <w:i/>
          <w:iCs/>
        </w:rPr>
      </w:pPr>
      <w:r w:rsidRPr="000A3533">
        <w:rPr>
          <w:i/>
          <w:iCs/>
        </w:rPr>
        <w:t>Proposed Effective Date</w:t>
      </w:r>
    </w:p>
    <w:p w14:paraId="4F5EA41E" w14:textId="7D68F6C7" w:rsidR="004576EC" w:rsidRDefault="004576EC" w:rsidP="00553183">
      <w:pPr>
        <w:pStyle w:val="Normal2"/>
        <w:ind w:left="0"/>
      </w:pPr>
      <w:r>
        <w:t>The proposed effective date is t</w:t>
      </w:r>
      <w:r w:rsidRPr="007138C9">
        <w:t xml:space="preserve">he first day of the second quarter following regulatory approval. </w:t>
      </w:r>
    </w:p>
    <w:p w14:paraId="7CCAF37A" w14:textId="2D83866A" w:rsidR="004576EC" w:rsidRPr="009564EE" w:rsidRDefault="004576EC" w:rsidP="00553183">
      <w:pPr>
        <w:pStyle w:val="Normal2"/>
        <w:ind w:left="0" w:firstLine="720"/>
      </w:pPr>
      <w:r w:rsidRPr="000A3533">
        <w:rPr>
          <w:i/>
          <w:iCs/>
        </w:rPr>
        <w:t>Justification</w:t>
      </w:r>
    </w:p>
    <w:p w14:paraId="0CA8FAA7" w14:textId="3CE90B1B" w:rsidR="009564EE" w:rsidRDefault="00E94DE3" w:rsidP="00553183">
      <w:pPr>
        <w:pStyle w:val="Normal2"/>
        <w:ind w:left="0"/>
        <w:rPr>
          <w:rFonts w:eastAsia="Palatino Linotype" w:cs="Times New Roman"/>
        </w:rPr>
      </w:pPr>
      <w:r w:rsidRPr="00E94DE3">
        <w:t>The entirety of the ICC is Procedurally up</w:t>
      </w:r>
      <w:r>
        <w:t xml:space="preserve"> </w:t>
      </w:r>
      <w:r w:rsidRPr="00E94DE3">
        <w:t>to</w:t>
      </w:r>
      <w:r>
        <w:t xml:space="preserve"> </w:t>
      </w:r>
      <w:r w:rsidRPr="00E94DE3">
        <w:t>date with only two sections due for five-year review in the first half of 2024.</w:t>
      </w:r>
      <w:r w:rsidR="00E8649E">
        <w:t xml:space="preserve"> </w:t>
      </w:r>
      <w:r>
        <w:t xml:space="preserve">Because the entire ICC is Procedurally up to date, and </w:t>
      </w:r>
      <w:r w:rsidR="00D05D9E">
        <w:t>because</w:t>
      </w:r>
      <w:r>
        <w:t xml:space="preserve"> </w:t>
      </w:r>
      <w:r w:rsidR="00E90B23">
        <w:t xml:space="preserve">the project </w:t>
      </w:r>
      <w:r>
        <w:t xml:space="preserve">proposes no new requirements, </w:t>
      </w:r>
      <w:r w:rsidR="009564EE">
        <w:rPr>
          <w:rFonts w:eastAsia="Palatino Linotype" w:cs="Times New Roman"/>
        </w:rPr>
        <w:t xml:space="preserve">the ICC can be implemented without undue </w:t>
      </w:r>
      <w:r>
        <w:rPr>
          <w:rFonts w:eastAsia="Palatino Linotype" w:cs="Times New Roman"/>
        </w:rPr>
        <w:t xml:space="preserve">burden or </w:t>
      </w:r>
      <w:r w:rsidR="009564EE">
        <w:rPr>
          <w:rFonts w:eastAsia="Palatino Linotype" w:cs="Times New Roman"/>
        </w:rPr>
        <w:t>delay.</w:t>
      </w:r>
      <w:r w:rsidR="00E8649E">
        <w:rPr>
          <w:rFonts w:eastAsia="Palatino Linotype" w:cs="Times New Roman"/>
        </w:rPr>
        <w:t xml:space="preserve"> </w:t>
      </w:r>
      <w:r w:rsidR="009564EE">
        <w:rPr>
          <w:rFonts w:eastAsia="Palatino Linotype" w:cs="Times New Roman"/>
        </w:rPr>
        <w:t>The DT did not identify any other WECC Criteria, Standards, or NAESB documents that would be impacted if the proposed ICC where adopted.</w:t>
      </w:r>
      <w:r w:rsidR="00E8649E">
        <w:rPr>
          <w:rFonts w:eastAsia="Palatino Linotype" w:cs="Times New Roman"/>
        </w:rPr>
        <w:t xml:space="preserve"> </w:t>
      </w:r>
    </w:p>
    <w:bookmarkEnd w:id="1"/>
    <w:p w14:paraId="2885BB72" w14:textId="77777777" w:rsidR="0053685B" w:rsidRPr="001C5A59" w:rsidRDefault="0053685B" w:rsidP="0053685B">
      <w:pPr>
        <w:pStyle w:val="Heading2"/>
      </w:pPr>
      <w:r w:rsidRPr="001C5A59">
        <w:t>Action Plan</w:t>
      </w:r>
      <w:r w:rsidR="008446F5" w:rsidRPr="001C5A59">
        <w:t xml:space="preserve"> </w:t>
      </w:r>
    </w:p>
    <w:p w14:paraId="282D5780" w14:textId="3CD7B53E" w:rsidR="008E7A83" w:rsidRPr="006163AA" w:rsidRDefault="008E7A83" w:rsidP="008E7A83">
      <w:pPr>
        <w:pStyle w:val="Normal2"/>
        <w:spacing w:before="0"/>
        <w:ind w:left="0"/>
      </w:pPr>
      <w:bookmarkStart w:id="2" w:name="_Hlk151554589"/>
      <w:r w:rsidRPr="006163AA">
        <w:t>On January 24, 2024, the WECC-0153 INT ICC DT agreed to</w:t>
      </w:r>
      <w:r>
        <w:t xml:space="preserve"> </w:t>
      </w:r>
      <w:r w:rsidRPr="006163AA">
        <w:t>post Posting 3 for a 30-day comment period. Once the comment period opens, comments can be</w:t>
      </w:r>
      <w:r>
        <w:t xml:space="preserve"> </w:t>
      </w:r>
      <w:r w:rsidRPr="006163AA">
        <w:t>submitted by selecting the Submit and Review Comments accordion on the WECC-0153 homepage. Then, click Submit Responses to Posting 3.</w:t>
      </w:r>
    </w:p>
    <w:p w14:paraId="6E8281EB" w14:textId="4ACBEB2C" w:rsidR="008E7A83" w:rsidRPr="006163AA" w:rsidRDefault="008E7A83" w:rsidP="008E7A83">
      <w:pPr>
        <w:pStyle w:val="Normal2"/>
        <w:spacing w:before="0"/>
        <w:ind w:left="0"/>
      </w:pPr>
      <w:r w:rsidRPr="006163AA">
        <w:t>The posting period will open January 26, 2024, and close February 26, 2024.</w:t>
      </w:r>
      <w:r w:rsidR="00D05D9E">
        <w:t xml:space="preserve"> </w:t>
      </w:r>
      <w:r w:rsidRPr="006163AA">
        <w:t>The DT will meet on February 28, 2024, and March 6, 2024, to address comments received.</w:t>
      </w:r>
    </w:p>
    <w:bookmarkEnd w:id="2"/>
    <w:p w14:paraId="6E4FE88A" w14:textId="6AA636DA"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3"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10075" w:type="dxa"/>
        <w:tblLook w:val="04A0" w:firstRow="1" w:lastRow="0" w:firstColumn="1" w:lastColumn="0" w:noHBand="0" w:noVBand="1"/>
      </w:tblPr>
      <w:tblGrid>
        <w:gridCol w:w="3865"/>
        <w:gridCol w:w="6210"/>
      </w:tblGrid>
      <w:tr w:rsidR="008E2D28" w14:paraId="60B1031B" w14:textId="77777777" w:rsidTr="00FC0A41">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865" w:type="dxa"/>
          </w:tcPr>
          <w:p w14:paraId="274C28B8" w14:textId="77777777" w:rsidR="008E2D28" w:rsidRDefault="008E2D28" w:rsidP="008E2D28">
            <w:r>
              <w:t>Commenter</w:t>
            </w:r>
          </w:p>
        </w:tc>
        <w:tc>
          <w:tcPr>
            <w:tcW w:w="6210"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BE049C" w:rsidRPr="004B411E" w14:paraId="5E3B5FB8" w14:textId="77777777" w:rsidTr="00FC0A4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865" w:type="dxa"/>
          </w:tcPr>
          <w:p w14:paraId="1E4B1AC4" w14:textId="744B4A07" w:rsidR="00BE049C" w:rsidRPr="007F3360" w:rsidRDefault="007F3360" w:rsidP="007511E4">
            <w:r w:rsidRPr="007F3360">
              <w:t>Raj Hundal</w:t>
            </w:r>
            <w:r w:rsidR="00AB55FC">
              <w:rPr>
                <w:rStyle w:val="FootnoteReference"/>
              </w:rPr>
              <w:footnoteReference w:id="1"/>
            </w:r>
          </w:p>
        </w:tc>
        <w:tc>
          <w:tcPr>
            <w:tcW w:w="6210" w:type="dxa"/>
          </w:tcPr>
          <w:p w14:paraId="424EA5CC" w14:textId="4025F744" w:rsidR="00BE049C" w:rsidRPr="007F3360" w:rsidRDefault="007F3360" w:rsidP="007511E4">
            <w:pPr>
              <w:cnfStyle w:val="000000100000" w:firstRow="0" w:lastRow="0" w:firstColumn="0" w:lastColumn="0" w:oddVBand="0" w:evenVBand="0" w:oddHBand="1" w:evenHBand="0" w:firstRowFirstColumn="0" w:firstRowLastColumn="0" w:lastRowFirstColumn="0" w:lastRowLastColumn="0"/>
            </w:pPr>
            <w:r w:rsidRPr="007F3360">
              <w:t>Powerex</w:t>
            </w:r>
          </w:p>
        </w:tc>
      </w:tr>
    </w:tbl>
    <w:p w14:paraId="14FA043B" w14:textId="77777777" w:rsidR="001C5A59" w:rsidRDefault="001C5A59">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3C86E329" w14:textId="5CFC8248" w:rsidR="005B679F" w:rsidRPr="005B679F" w:rsidRDefault="005B679F"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t>Index to Questions, Comments, and Responses</w:t>
      </w:r>
    </w:p>
    <w:p w14:paraId="1DC562EE" w14:textId="77777777"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t>Question</w:t>
      </w:r>
    </w:p>
    <w:p w14:paraId="16B4E791" w14:textId="4057FDCA" w:rsidR="005B679F" w:rsidRPr="005B679F" w:rsidRDefault="009D2CEE" w:rsidP="005B679F">
      <w:pPr>
        <w:numPr>
          <w:ilvl w:val="0"/>
          <w:numId w:val="11"/>
        </w:numPr>
        <w:suppressAutoHyphens/>
        <w:spacing w:before="120"/>
        <w:ind w:left="360"/>
        <w:contextualSpacing/>
        <w:rPr>
          <w:b/>
        </w:rPr>
      </w:pPr>
      <w:r>
        <w:rPr>
          <w:b/>
        </w:rPr>
        <w:t xml:space="preserve">The drafting team invited comments on all aspects of the document. </w:t>
      </w:r>
    </w:p>
    <w:tbl>
      <w:tblPr>
        <w:tblStyle w:val="WECCTable1"/>
        <w:tblW w:w="9715" w:type="dxa"/>
        <w:tblLook w:val="04A0" w:firstRow="1" w:lastRow="0" w:firstColumn="1" w:lastColumn="0" w:noHBand="0" w:noVBand="1"/>
      </w:tblPr>
      <w:tblGrid>
        <w:gridCol w:w="3055"/>
        <w:gridCol w:w="6660"/>
      </w:tblGrid>
      <w:tr w:rsidR="005B679F" w:rsidRPr="005B679F" w14:paraId="1C194E22" w14:textId="77777777" w:rsidTr="00BE04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55"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6660" w:type="dxa"/>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BE04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55" w:type="dxa"/>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6660"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5B679F" w:rsidRPr="005B679F" w14:paraId="1C0CCBAD" w14:textId="77777777" w:rsidTr="00BE0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bottom w:val="single" w:sz="4" w:space="0" w:color="auto"/>
            </w:tcBorders>
          </w:tcPr>
          <w:p w14:paraId="295AF591" w14:textId="77777777" w:rsidR="005B679F" w:rsidRDefault="007F3360" w:rsidP="009F163A">
            <w:pPr>
              <w:spacing w:line="240" w:lineRule="auto"/>
              <w:contextualSpacing/>
            </w:pPr>
            <w:bookmarkStart w:id="3" w:name="_Hlk85536468"/>
            <w:bookmarkStart w:id="4" w:name="_Hlk111814452"/>
            <w:r>
              <w:rPr>
                <w:bCs w:val="0"/>
              </w:rPr>
              <w:t>Raj Hundal</w:t>
            </w:r>
          </w:p>
          <w:p w14:paraId="54E090E3" w14:textId="54FB561C" w:rsidR="007F3360" w:rsidRPr="005B679F" w:rsidRDefault="007F3360" w:rsidP="009F163A">
            <w:pPr>
              <w:spacing w:line="240" w:lineRule="auto"/>
              <w:contextualSpacing/>
              <w:rPr>
                <w:bCs w:val="0"/>
              </w:rPr>
            </w:pPr>
            <w:r>
              <w:rPr>
                <w:bCs w:val="0"/>
              </w:rPr>
              <w:t>Power</w:t>
            </w:r>
          </w:p>
        </w:tc>
        <w:tc>
          <w:tcPr>
            <w:tcW w:w="6660" w:type="dxa"/>
            <w:tcBorders>
              <w:bottom w:val="single" w:sz="4" w:space="0" w:color="auto"/>
            </w:tcBorders>
          </w:tcPr>
          <w:p w14:paraId="2E52C143" w14:textId="3EE40F8D" w:rsidR="007F3360" w:rsidRPr="007F3360" w:rsidRDefault="007F3360" w:rsidP="007F3360">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rsidRPr="007F3360">
              <w:t>Powerex appreciates the dedication of the drafting team to undertake the INT consolidation project.</w:t>
            </w:r>
            <w:r w:rsidR="00D05D9E">
              <w:t xml:space="preserve"> </w:t>
            </w:r>
            <w:r w:rsidRPr="007F3360">
              <w:t>Powerex has concerns regarding the removal of many of the requirements in INT-020, and we were not able to find additional justification of the removal beyond the general paragraph stated below:</w:t>
            </w:r>
          </w:p>
          <w:p w14:paraId="37CCF9E9" w14:textId="77777777" w:rsidR="007F3360" w:rsidRPr="007F3360" w:rsidRDefault="007F3360" w:rsidP="007F3360">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rsidRPr="007F3360">
              <w:t> </w:t>
            </w:r>
          </w:p>
          <w:p w14:paraId="4D9C3FED" w14:textId="6D8D199A" w:rsidR="007F3360" w:rsidRPr="007F3360" w:rsidRDefault="007F3360" w:rsidP="007F3360">
            <w:pPr>
              <w:spacing w:line="240" w:lineRule="auto"/>
              <w:ind w:left="524"/>
              <w:contextualSpacing/>
              <w:cnfStyle w:val="000000100000" w:firstRow="0" w:lastRow="0" w:firstColumn="0" w:lastColumn="0" w:oddVBand="0" w:evenVBand="0" w:oddHBand="1" w:evenHBand="0" w:firstRowFirstColumn="0" w:firstRowLastColumn="0" w:lastRowFirstColumn="0" w:lastRowLastColumn="0"/>
            </w:pPr>
            <w:r w:rsidRPr="007F3360">
              <w:t>The entirety of INT-020-WECC-CRT (except for WR5) is proposed for deletion because it does not accurately reflect various current processes, hinders the applicable entity’s ability to use other processes, and is largely inefficient.</w:t>
            </w:r>
            <w:r w:rsidR="00D05D9E">
              <w:t xml:space="preserve"> </w:t>
            </w:r>
            <w:r w:rsidRPr="007F3360">
              <w:t>WR5 would be excerpted from INT-020-WECC-CRT and relocated to INT-021-WECC-CRT as WR4, along with its Rationale section.</w:t>
            </w:r>
            <w:r w:rsidR="00D05D9E">
              <w:t xml:space="preserve"> </w:t>
            </w:r>
            <w:r w:rsidRPr="007F3360">
              <w:t>This move preserves a notification requirement.</w:t>
            </w:r>
            <w:r w:rsidR="00D05D9E">
              <w:t xml:space="preserve"> </w:t>
            </w:r>
          </w:p>
          <w:p w14:paraId="7E4D5098" w14:textId="77777777" w:rsidR="007F3360" w:rsidRPr="007F3360" w:rsidRDefault="007F3360" w:rsidP="007F3360">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rsidRPr="007F3360">
              <w:t> </w:t>
            </w:r>
          </w:p>
          <w:p w14:paraId="7719CDD4" w14:textId="2507EF26" w:rsidR="007F3360" w:rsidRDefault="007F3360" w:rsidP="007F3360">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rsidRPr="007F3360">
              <w:t>Powerex believes further elaboration is required before any removal of the INT-020 requirements.</w:t>
            </w:r>
            <w:r w:rsidR="00D05D9E">
              <w:t xml:space="preserve"> </w:t>
            </w:r>
            <w:r w:rsidRPr="007F3360">
              <w:t>Could the drafting team elaborate and answer the following questions: </w:t>
            </w:r>
          </w:p>
          <w:p w14:paraId="69373549" w14:textId="77777777" w:rsidR="007F3360" w:rsidRPr="007F3360" w:rsidRDefault="007F3360" w:rsidP="007F3360">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33FA2C89" w14:textId="65C4281E" w:rsidR="007F3360" w:rsidRPr="007F3360" w:rsidRDefault="007F3360" w:rsidP="007F3360">
            <w:pPr>
              <w:numPr>
                <w:ilvl w:val="0"/>
                <w:numId w:val="48"/>
              </w:numPr>
              <w:spacing w:line="240" w:lineRule="auto"/>
              <w:contextualSpacing/>
              <w:cnfStyle w:val="000000100000" w:firstRow="0" w:lastRow="0" w:firstColumn="0" w:lastColumn="0" w:oddVBand="0" w:evenVBand="0" w:oddHBand="1" w:evenHBand="0" w:firstRowFirstColumn="0" w:firstRowLastColumn="0" w:lastRowFirstColumn="0" w:lastRowLastColumn="0"/>
            </w:pPr>
            <w:r>
              <w:t>W</w:t>
            </w:r>
            <w:r w:rsidRPr="007F3360">
              <w:t>hat are the “various current processes” that are being referred to and what are the inaccuracies in the criterion?</w:t>
            </w:r>
          </w:p>
          <w:p w14:paraId="1F8B5A9D" w14:textId="77777777" w:rsidR="007F3360" w:rsidRPr="007F3360" w:rsidRDefault="007F3360" w:rsidP="007F3360">
            <w:pPr>
              <w:numPr>
                <w:ilvl w:val="0"/>
                <w:numId w:val="48"/>
              </w:numPr>
              <w:spacing w:line="240" w:lineRule="auto"/>
              <w:contextualSpacing/>
              <w:cnfStyle w:val="000000100000" w:firstRow="0" w:lastRow="0" w:firstColumn="0" w:lastColumn="0" w:oddVBand="0" w:evenVBand="0" w:oddHBand="1" w:evenHBand="0" w:firstRowFirstColumn="0" w:firstRowLastColumn="0" w:lastRowFirstColumn="0" w:lastRowLastColumn="0"/>
            </w:pPr>
            <w:r w:rsidRPr="007F3360">
              <w:t>What inefficiencies are being experienced and which requirements are driving those inefficiencies ? </w:t>
            </w:r>
          </w:p>
          <w:p w14:paraId="40200084" w14:textId="77777777" w:rsidR="007F3360" w:rsidRPr="007F3360" w:rsidRDefault="007F3360" w:rsidP="007F3360">
            <w:pPr>
              <w:numPr>
                <w:ilvl w:val="0"/>
                <w:numId w:val="48"/>
              </w:numPr>
              <w:spacing w:line="240" w:lineRule="auto"/>
              <w:contextualSpacing/>
              <w:cnfStyle w:val="000000100000" w:firstRow="0" w:lastRow="0" w:firstColumn="0" w:lastColumn="0" w:oddVBand="0" w:evenVBand="0" w:oddHBand="1" w:evenHBand="0" w:firstRowFirstColumn="0" w:firstRowLastColumn="0" w:lastRowFirstColumn="0" w:lastRowLastColumn="0"/>
            </w:pPr>
            <w:r w:rsidRPr="007F3360">
              <w:t>What are the hindrances in the requirements ?</w:t>
            </w:r>
          </w:p>
          <w:p w14:paraId="26C0ACBC" w14:textId="6C100CB6" w:rsidR="007F3360" w:rsidRDefault="007F3360" w:rsidP="007F3360">
            <w:pPr>
              <w:numPr>
                <w:ilvl w:val="0"/>
                <w:numId w:val="48"/>
              </w:numPr>
              <w:spacing w:line="240" w:lineRule="auto"/>
              <w:contextualSpacing/>
              <w:cnfStyle w:val="000000100000" w:firstRow="0" w:lastRow="0" w:firstColumn="0" w:lastColumn="0" w:oddVBand="0" w:evenVBand="0" w:oddHBand="1" w:evenHBand="0" w:firstRowFirstColumn="0" w:firstRowLastColumn="0" w:lastRowFirstColumn="0" w:lastRowLastColumn="0"/>
            </w:pPr>
            <w:r w:rsidRPr="007F3360">
              <w:t>Was the drafting team able to review procedure of Sink BAs on how they would handle eTag tool outages?</w:t>
            </w:r>
            <w:r w:rsidR="00D05D9E">
              <w:t xml:space="preserve"> </w:t>
            </w:r>
            <w:r w:rsidRPr="007F3360">
              <w:t>Were those procedures consistent with other Sink BAs ?</w:t>
            </w:r>
          </w:p>
          <w:p w14:paraId="1464E096" w14:textId="77777777" w:rsidR="007F3360" w:rsidRPr="007F3360" w:rsidRDefault="007F3360" w:rsidP="007F3360">
            <w:pPr>
              <w:spacing w:line="240" w:lineRule="auto"/>
              <w:contextualSpacing/>
              <w:cnfStyle w:val="000000100000" w:firstRow="0" w:lastRow="0" w:firstColumn="0" w:lastColumn="0" w:oddVBand="0" w:evenVBand="0" w:oddHBand="1" w:evenHBand="0" w:firstRowFirstColumn="0" w:firstRowLastColumn="0" w:lastRowFirstColumn="0" w:lastRowLastColumn="0"/>
            </w:pPr>
          </w:p>
          <w:p w14:paraId="48AF6789" w14:textId="7D635396" w:rsidR="007F3360" w:rsidRPr="007F3360" w:rsidRDefault="007F3360" w:rsidP="007F3360">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rsidRPr="007F3360">
              <w:t>The key purpose of the criterion is to ensure consistent understanding and approach during outages of e</w:t>
            </w:r>
            <w:r>
              <w:t>-</w:t>
            </w:r>
            <w:r w:rsidRPr="007F3360">
              <w:t>Tag distribution and processing, as well as ensuring that interchange transactions, required for reliability purposes, are facilitated by BAs and TSPs (</w:t>
            </w:r>
            <w:r w:rsidR="00D05D9E">
              <w:t>e</w:t>
            </w:r>
            <w:r w:rsidRPr="007F3360">
              <w:t>.</w:t>
            </w:r>
            <w:r>
              <w:t>g.,</w:t>
            </w:r>
            <w:r w:rsidRPr="007F3360">
              <w:t xml:space="preserve"> WR9 and 10) in times of need.</w:t>
            </w:r>
            <w:r w:rsidR="00D05D9E">
              <w:t xml:space="preserve"> </w:t>
            </w:r>
            <w:r w:rsidRPr="007F3360">
              <w:t>WECC has experienced extreme weather events in recent years, and a tool outage, without a backstop procedure, during an event could have negative effects on reliability in the region.</w:t>
            </w:r>
            <w:r w:rsidR="00D05D9E">
              <w:t xml:space="preserve"> </w:t>
            </w:r>
            <w:r w:rsidRPr="007F3360">
              <w:t xml:space="preserve">It would be important that these criterion </w:t>
            </w:r>
            <w:r>
              <w:t xml:space="preserve">[sic] </w:t>
            </w:r>
            <w:r w:rsidRPr="007F3360">
              <w:t>be modified and reflect current operations to ensure that reliability is maintained.</w:t>
            </w:r>
            <w:r w:rsidR="00D05D9E">
              <w:t xml:space="preserve"> </w:t>
            </w:r>
          </w:p>
          <w:p w14:paraId="0C23D84D" w14:textId="77777777" w:rsidR="007F3360" w:rsidRPr="007F3360" w:rsidRDefault="007F3360" w:rsidP="007F3360">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rsidRPr="007F3360">
              <w:t> </w:t>
            </w:r>
          </w:p>
          <w:p w14:paraId="7E0B8C28" w14:textId="26E43124" w:rsidR="005B679F" w:rsidRPr="005B679F" w:rsidRDefault="007F3360" w:rsidP="007F3360">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rsidRPr="007F3360">
              <w:t>Powerex appreciates the drafting team reviewing our concerns, and we look forward to having discussions during the drafting team meetings to address our comments.</w:t>
            </w:r>
          </w:p>
        </w:tc>
      </w:tr>
      <w:bookmarkEnd w:id="3"/>
      <w:tr w:rsidR="008E7A83" w:rsidRPr="008E7A83" w14:paraId="172B6C22" w14:textId="77777777" w:rsidTr="00BE049C">
        <w:tc>
          <w:tcPr>
            <w:cnfStyle w:val="001000000000" w:firstRow="0" w:lastRow="0" w:firstColumn="1" w:lastColumn="0" w:oddVBand="0" w:evenVBand="0" w:oddHBand="0" w:evenHBand="0" w:firstRowFirstColumn="0" w:firstRowLastColumn="0" w:lastRowFirstColumn="0" w:lastRowLastColumn="0"/>
            <w:tcW w:w="9715" w:type="dxa"/>
            <w:gridSpan w:val="2"/>
            <w:tcBorders>
              <w:right w:val="single" w:sz="4" w:space="0" w:color="auto"/>
            </w:tcBorders>
          </w:tcPr>
          <w:p w14:paraId="424D4FFB" w14:textId="77777777" w:rsidR="008E7A83" w:rsidRPr="008E7A83" w:rsidRDefault="00C534D3" w:rsidP="001C5A59">
            <w:pPr>
              <w:shd w:val="clear" w:color="auto" w:fill="FFFFFF"/>
              <w:spacing w:after="120"/>
              <w:rPr>
                <w:bCs w:val="0"/>
                <w:color w:val="0070C0"/>
              </w:rPr>
            </w:pPr>
            <w:r w:rsidRPr="008E7A83">
              <w:rPr>
                <w:color w:val="0070C0"/>
              </w:rPr>
              <w:t>After discussion with Mr. Hundal, the DT agreed not to propose retirement of INT-020-CRT in its entirety.</w:t>
            </w:r>
            <w:r w:rsidR="00E139E9" w:rsidRPr="008E7A83">
              <w:rPr>
                <w:color w:val="0070C0"/>
              </w:rPr>
              <w:t xml:space="preserve"> Rather, subject to renumbering, the team </w:t>
            </w:r>
            <w:r w:rsidR="008E7A83" w:rsidRPr="008E7A83">
              <w:rPr>
                <w:color w:val="0070C0"/>
              </w:rPr>
              <w:t xml:space="preserve">made the following changes: </w:t>
            </w:r>
          </w:p>
          <w:p w14:paraId="5733819B" w14:textId="22E02334" w:rsidR="008E7A83" w:rsidRPr="008E7A83" w:rsidRDefault="008E7A83" w:rsidP="008E7A83">
            <w:pPr>
              <w:suppressAutoHyphens/>
              <w:spacing w:before="120"/>
              <w:rPr>
                <w:color w:val="0070C0"/>
              </w:rPr>
            </w:pPr>
            <w:r w:rsidRPr="008E7A83">
              <w:rPr>
                <w:b/>
                <w:bCs w:val="0"/>
                <w:color w:val="0070C0"/>
              </w:rPr>
              <w:t>Purpose:</w:t>
            </w:r>
            <w:r>
              <w:rPr>
                <w:color w:val="0070C0"/>
              </w:rPr>
              <w:t xml:space="preserve"> </w:t>
            </w:r>
            <w:r w:rsidRPr="008E7A83">
              <w:rPr>
                <w:color w:val="0070C0"/>
              </w:rPr>
              <w:t xml:space="preserve">The purpose of this document is to establish a coordinated scheduling process for use during failure of the </w:t>
            </w:r>
            <w:bookmarkStart w:id="5" w:name="_Hlk156566307"/>
            <w:r w:rsidRPr="008E7A83">
              <w:rPr>
                <w:color w:val="0070C0"/>
              </w:rPr>
              <w:t xml:space="preserve">NAESB e-Tag Authority Service </w:t>
            </w:r>
            <w:bookmarkEnd w:id="5"/>
            <w:r w:rsidRPr="008E7A83">
              <w:rPr>
                <w:color w:val="0070C0"/>
              </w:rPr>
              <w:t>as determined by Sink Balancing Authority Areas.</w:t>
            </w:r>
          </w:p>
          <w:p w14:paraId="2B5D21EE" w14:textId="77777777" w:rsidR="008E7A83" w:rsidRPr="008E7A83" w:rsidRDefault="008E7A83" w:rsidP="008E7A83">
            <w:pPr>
              <w:suppressAutoHyphens/>
              <w:spacing w:before="120"/>
              <w:rPr>
                <w:color w:val="0070C0"/>
              </w:rPr>
            </w:pPr>
            <w:r w:rsidRPr="008E7A83">
              <w:rPr>
                <w:color w:val="0070C0"/>
              </w:rPr>
              <w:t xml:space="preserve">WR5 is relocated to INT-021-WECC-CRT. </w:t>
            </w:r>
          </w:p>
          <w:p w14:paraId="2EEB7F5A" w14:textId="52DFDCFE" w:rsidR="008E7A83" w:rsidRPr="008E7A83" w:rsidRDefault="008E7A83" w:rsidP="008E7A83">
            <w:pPr>
              <w:suppressAutoHyphens/>
              <w:spacing w:before="120"/>
              <w:rPr>
                <w:color w:val="0070C0"/>
              </w:rPr>
            </w:pPr>
            <w:r w:rsidRPr="008E7A83">
              <w:rPr>
                <w:color w:val="0070C0"/>
              </w:rPr>
              <w:t>WRs 1</w:t>
            </w:r>
            <w:r w:rsidR="00D05D9E">
              <w:rPr>
                <w:color w:val="0070C0"/>
              </w:rPr>
              <w:t>–</w:t>
            </w:r>
            <w:r w:rsidRPr="008E7A83">
              <w:rPr>
                <w:color w:val="0070C0"/>
              </w:rPr>
              <w:t xml:space="preserve">8, 11, and 12 are deleted. </w:t>
            </w:r>
          </w:p>
          <w:p w14:paraId="1B817C02" w14:textId="2DCBD099" w:rsidR="008E7A83" w:rsidRDefault="008E7A83" w:rsidP="008E7A83">
            <w:pPr>
              <w:suppressAutoHyphens/>
              <w:spacing w:before="120"/>
              <w:rPr>
                <w:bCs w:val="0"/>
                <w:color w:val="0070C0"/>
              </w:rPr>
            </w:pPr>
            <w:r w:rsidRPr="008E7A83">
              <w:rPr>
                <w:color w:val="0070C0"/>
              </w:rPr>
              <w:t>WR 9, 10, and 15 are redrafted</w:t>
            </w:r>
            <w:r>
              <w:rPr>
                <w:color w:val="0070C0"/>
              </w:rPr>
              <w:t xml:space="preserve"> and will be renumbered</w:t>
            </w:r>
            <w:r w:rsidRPr="008E7A83">
              <w:rPr>
                <w:color w:val="0070C0"/>
              </w:rPr>
              <w:t>.</w:t>
            </w:r>
          </w:p>
          <w:p w14:paraId="3DF6DE84" w14:textId="7EAB7DFA" w:rsidR="008E7A83" w:rsidRPr="008E7A83" w:rsidRDefault="008E7A83" w:rsidP="008E7A83">
            <w:pPr>
              <w:suppressAutoHyphens/>
              <w:spacing w:before="120"/>
              <w:rPr>
                <w:b/>
                <w:color w:val="0070C0"/>
              </w:rPr>
            </w:pPr>
            <w:r>
              <w:rPr>
                <w:b/>
                <w:color w:val="0070C0"/>
              </w:rPr>
              <w:t>“</w:t>
            </w:r>
            <w:r w:rsidRPr="008E7A83">
              <w:rPr>
                <w:b/>
                <w:color w:val="0070C0"/>
              </w:rPr>
              <w:t>The following requirements only apply during failure of the NAESB e-Tag Authority Service</w:t>
            </w:r>
            <w:r w:rsidR="00D05D9E">
              <w:rPr>
                <w:b/>
                <w:color w:val="0070C0"/>
              </w:rPr>
              <w:t xml:space="preserve"> </w:t>
            </w:r>
            <w:r w:rsidRPr="008E7A83">
              <w:rPr>
                <w:b/>
                <w:color w:val="0070C0"/>
              </w:rPr>
              <w:t>within the Western Interconnection.</w:t>
            </w:r>
          </w:p>
          <w:p w14:paraId="4A4136C6" w14:textId="77777777" w:rsidR="008E7A83" w:rsidRPr="008E7A83" w:rsidRDefault="008E7A83" w:rsidP="008E7A83">
            <w:pPr>
              <w:suppressAutoHyphens/>
              <w:spacing w:before="120"/>
              <w:rPr>
                <w:color w:val="0070C0"/>
              </w:rPr>
            </w:pPr>
            <w:r w:rsidRPr="008E7A83">
              <w:rPr>
                <w:b/>
                <w:color w:val="0070C0"/>
              </w:rPr>
              <w:t>WR1.</w:t>
            </w:r>
            <w:r w:rsidRPr="008E7A83">
              <w:rPr>
                <w:color w:val="0070C0"/>
              </w:rPr>
              <w:tab/>
              <w:t>Each Sink Balancing Authority shall implement new Interchange transactions when necessary to maintain load-to-generation balance, reserve requirements, or to maintain reliability.</w:t>
            </w:r>
          </w:p>
          <w:p w14:paraId="42DF1E60" w14:textId="77777777" w:rsidR="008E7A83" w:rsidRPr="008E7A83" w:rsidRDefault="008E7A83" w:rsidP="008E7A83">
            <w:pPr>
              <w:suppressAutoHyphens/>
              <w:spacing w:before="120"/>
              <w:rPr>
                <w:color w:val="0070C0"/>
              </w:rPr>
            </w:pPr>
            <w:r w:rsidRPr="008E7A83">
              <w:rPr>
                <w:b/>
                <w:color w:val="0070C0"/>
              </w:rPr>
              <w:t>WM1.</w:t>
            </w:r>
            <w:r w:rsidRPr="008E7A83">
              <w:rPr>
                <w:b/>
                <w:color w:val="0070C0"/>
              </w:rPr>
              <w:tab/>
            </w:r>
            <w:r w:rsidRPr="008E7A83">
              <w:rPr>
                <w:color w:val="0070C0"/>
              </w:rPr>
              <w:t xml:space="preserve">Each Sink Balancing Authority will have evidence that it implemented new Interchange transactions that were necessary to maintain load-to-generation balance, reserve requirements, or to maintain reliability, per WR1. </w:t>
            </w:r>
          </w:p>
          <w:p w14:paraId="049D178E" w14:textId="77777777" w:rsidR="008E7A83" w:rsidRPr="008E7A83" w:rsidRDefault="008E7A83" w:rsidP="008E7A83">
            <w:pPr>
              <w:suppressAutoHyphens/>
              <w:spacing w:before="120"/>
              <w:rPr>
                <w:color w:val="0070C0"/>
              </w:rPr>
            </w:pPr>
            <w:r w:rsidRPr="008E7A83">
              <w:rPr>
                <w:b/>
                <w:color w:val="0070C0"/>
              </w:rPr>
              <w:t>WR2.</w:t>
            </w:r>
            <w:r w:rsidRPr="008E7A83">
              <w:rPr>
                <w:color w:val="0070C0"/>
              </w:rPr>
              <w:tab/>
              <w:t>Each Sink Balancing Authority shall create new Interchange by verbally communicating and confirming with the Source Balancing Authority.</w:t>
            </w:r>
          </w:p>
          <w:p w14:paraId="199D4B6D" w14:textId="77777777" w:rsidR="008E7A83" w:rsidRDefault="008E7A83" w:rsidP="008E7A83">
            <w:pPr>
              <w:suppressAutoHyphens/>
              <w:spacing w:before="120"/>
              <w:rPr>
                <w:bCs w:val="0"/>
                <w:color w:val="0070C0"/>
              </w:rPr>
            </w:pPr>
            <w:r w:rsidRPr="008E7A83">
              <w:rPr>
                <w:b/>
                <w:color w:val="0070C0"/>
              </w:rPr>
              <w:t>WM2.</w:t>
            </w:r>
            <w:r w:rsidRPr="008E7A83">
              <w:rPr>
                <w:color w:val="0070C0"/>
              </w:rPr>
              <w:tab/>
              <w:t xml:space="preserve"> Each Sink Balancing Authority will have evidence that the Sink Balancing Authority created and confirmed new Interchange with the Source Balancing Authority that was a party to the new Interchange, per WR2.</w:t>
            </w:r>
          </w:p>
          <w:p w14:paraId="41B40DC3" w14:textId="77777777" w:rsidR="008E7A83" w:rsidRPr="008E7A83" w:rsidRDefault="008E7A83" w:rsidP="008E7A83">
            <w:pPr>
              <w:suppressAutoHyphens/>
              <w:spacing w:before="120"/>
              <w:rPr>
                <w:b/>
                <w:color w:val="0070C0"/>
              </w:rPr>
            </w:pPr>
            <w:r w:rsidRPr="008E7A83">
              <w:rPr>
                <w:b/>
                <w:color w:val="0070C0"/>
              </w:rPr>
              <w:t>The following requirements only apply after restoration of the NAESB e-Tag Authority Service within the Western Interconnection.</w:t>
            </w:r>
          </w:p>
          <w:p w14:paraId="75C832F6" w14:textId="77777777" w:rsidR="008E7A83" w:rsidRPr="008E7A83" w:rsidRDefault="008E7A83" w:rsidP="008E7A83">
            <w:pPr>
              <w:suppressAutoHyphens/>
              <w:spacing w:before="120"/>
              <w:rPr>
                <w:color w:val="0070C0"/>
              </w:rPr>
            </w:pPr>
            <w:bookmarkStart w:id="6" w:name="_Hlk156567486"/>
            <w:r w:rsidRPr="008E7A83">
              <w:rPr>
                <w:b/>
                <w:color w:val="0070C0"/>
              </w:rPr>
              <w:t>WR3.</w:t>
            </w:r>
            <w:r w:rsidRPr="008E7A83">
              <w:rPr>
                <w:b/>
                <w:color w:val="0070C0"/>
              </w:rPr>
              <w:tab/>
            </w:r>
            <w:bookmarkStart w:id="7" w:name="_Hlk156567108"/>
            <w:r w:rsidRPr="008E7A83">
              <w:rPr>
                <w:color w:val="0070C0"/>
              </w:rPr>
              <w:t>Each Sink Balancing Authority shall submit or cause to have submitted an After-the-Fact (ATF) e-Tag before the end of the ATF e</w:t>
            </w:r>
            <w:r w:rsidRPr="008E7A83">
              <w:rPr>
                <w:color w:val="0070C0"/>
              </w:rPr>
              <w:noBreakHyphen/>
              <w:t>Tag submission deadline for each transaction implemented during the outage.</w:t>
            </w:r>
            <w:bookmarkEnd w:id="7"/>
          </w:p>
          <w:p w14:paraId="1C57ED1F" w14:textId="77777777" w:rsidR="008E7A83" w:rsidRPr="008E7A83" w:rsidRDefault="008E7A83" w:rsidP="008E7A83">
            <w:pPr>
              <w:suppressAutoHyphens/>
              <w:spacing w:before="120"/>
              <w:rPr>
                <w:color w:val="0070C0"/>
              </w:rPr>
            </w:pPr>
            <w:r w:rsidRPr="008E7A83">
              <w:rPr>
                <w:b/>
                <w:color w:val="0070C0"/>
              </w:rPr>
              <w:t>WM3.</w:t>
            </w:r>
            <w:r w:rsidRPr="008E7A83">
              <w:rPr>
                <w:color w:val="0070C0"/>
              </w:rPr>
              <w:t xml:space="preserve"> Each Sink Balancing Authority will have evidence that it submitted an After-the-Fact (ATF) e-Tag that met the criteria of WR3.</w:t>
            </w:r>
          </w:p>
          <w:bookmarkEnd w:id="6"/>
          <w:p w14:paraId="517F2A2C" w14:textId="4BBEE627" w:rsidR="008E7A83" w:rsidRDefault="008E7A83" w:rsidP="008E7A83">
            <w:pPr>
              <w:suppressAutoHyphens/>
              <w:spacing w:before="120"/>
              <w:rPr>
                <w:bCs w:val="0"/>
                <w:color w:val="0070C0"/>
              </w:rPr>
            </w:pPr>
            <w:r w:rsidRPr="008E7A83">
              <w:rPr>
                <w:color w:val="0070C0"/>
              </w:rPr>
              <w:t>A supportive narrative is added to the Rationale section.</w:t>
            </w:r>
            <w:r w:rsidR="00D05D9E">
              <w:rPr>
                <w:color w:val="0070C0"/>
              </w:rPr>
              <w:t xml:space="preserve"> </w:t>
            </w:r>
          </w:p>
          <w:p w14:paraId="5B87DFE6" w14:textId="39E03F4E" w:rsidR="008E7A83" w:rsidRPr="008E7A83" w:rsidRDefault="008E7A83" w:rsidP="008E7A83">
            <w:pPr>
              <w:suppressAutoHyphens/>
              <w:spacing w:before="120"/>
              <w:rPr>
                <w:color w:val="0070C0"/>
              </w:rPr>
            </w:pPr>
            <w:r>
              <w:rPr>
                <w:color w:val="0070C0"/>
              </w:rPr>
              <w:t>“</w:t>
            </w:r>
            <w:r w:rsidRPr="008E7A83">
              <w:rPr>
                <w:color w:val="0070C0"/>
              </w:rPr>
              <w:t>Within the Western Interconnection, the Interchange Software processes Interchange, including accounting for primary inadvertent interchange.</w:t>
            </w:r>
            <w:r w:rsidR="00D05D9E">
              <w:rPr>
                <w:color w:val="0070C0"/>
              </w:rPr>
              <w:t xml:space="preserve"> </w:t>
            </w:r>
            <w:r w:rsidRPr="008E7A83">
              <w:rPr>
                <w:color w:val="0070C0"/>
              </w:rPr>
              <w:t xml:space="preserve">If the Interchange Software fails, its failure does not impact the </w:t>
            </w:r>
            <w:r w:rsidRPr="008E7A83">
              <w:rPr>
                <w:i/>
                <w:iCs/>
                <w:color w:val="0070C0"/>
              </w:rPr>
              <w:t>validation or distribution</w:t>
            </w:r>
            <w:r w:rsidRPr="008E7A83">
              <w:rPr>
                <w:color w:val="0070C0"/>
              </w:rPr>
              <w:t xml:space="preserve"> of an e-Tag. </w:t>
            </w:r>
          </w:p>
          <w:p w14:paraId="4858F13C" w14:textId="1692BA18" w:rsidR="00E139E9" w:rsidRPr="008E7A83" w:rsidRDefault="008E7A83" w:rsidP="008E7A83">
            <w:pPr>
              <w:suppressAutoHyphens/>
              <w:spacing w:before="120"/>
              <w:rPr>
                <w:color w:val="0070C0"/>
              </w:rPr>
            </w:pPr>
            <w:r w:rsidRPr="008E7A83">
              <w:rPr>
                <w:color w:val="0070C0"/>
              </w:rPr>
              <w:t xml:space="preserve">By contrast, the NAESB e-Tag “Authority Service </w:t>
            </w:r>
            <w:r w:rsidRPr="008E7A83">
              <w:rPr>
                <w:i/>
                <w:iCs/>
                <w:color w:val="0070C0"/>
              </w:rPr>
              <w:t>validates and distributes</w:t>
            </w:r>
            <w:r w:rsidRPr="008E7A83">
              <w:rPr>
                <w:color w:val="0070C0"/>
              </w:rPr>
              <w:t xml:space="preserve"> e-Tags for approval on behalf of the Sink Balancing Authority.”</w:t>
            </w:r>
            <w:r w:rsidRPr="008E7A83">
              <w:rPr>
                <w:color w:val="0070C0"/>
                <w:vertAlign w:val="superscript"/>
              </w:rPr>
              <w:footnoteReference w:id="2"/>
            </w:r>
            <w:r w:rsidRPr="008E7A83">
              <w:rPr>
                <w:color w:val="0070C0"/>
              </w:rPr>
              <w:t xml:space="preserve"> (Emphasis added.)</w:t>
            </w:r>
            <w:r w:rsidR="00D05D9E">
              <w:rPr>
                <w:color w:val="0070C0"/>
              </w:rPr>
              <w:t xml:space="preserve"> </w:t>
            </w:r>
            <w:r w:rsidRPr="008E7A83">
              <w:rPr>
                <w:color w:val="0070C0"/>
              </w:rPr>
              <w:t>Whereas an e-Tag Author</w:t>
            </w:r>
            <w:r w:rsidRPr="008E7A83">
              <w:rPr>
                <w:color w:val="0070C0"/>
                <w:vertAlign w:val="superscript"/>
              </w:rPr>
              <w:footnoteReference w:id="3"/>
            </w:r>
            <w:r w:rsidRPr="008E7A83">
              <w:rPr>
                <w:color w:val="0070C0"/>
              </w:rPr>
              <w:t xml:space="preserve"> may use the NAESB </w:t>
            </w:r>
            <w:r w:rsidRPr="008E7A83">
              <w:rPr>
                <w:i/>
                <w:iCs/>
                <w:color w:val="0070C0"/>
              </w:rPr>
              <w:t>Agent</w:t>
            </w:r>
            <w:r w:rsidRPr="008E7A83">
              <w:rPr>
                <w:color w:val="0070C0"/>
              </w:rPr>
              <w:t xml:space="preserve"> Service, a Balancing Authority would use the NAESB </w:t>
            </w:r>
            <w:r w:rsidRPr="008E7A83">
              <w:rPr>
                <w:i/>
                <w:iCs/>
                <w:color w:val="0070C0"/>
              </w:rPr>
              <w:t>Authority</w:t>
            </w:r>
            <w:r w:rsidRPr="008E7A83">
              <w:rPr>
                <w:color w:val="0070C0"/>
              </w:rPr>
              <w:t xml:space="preserve"> Service.</w:t>
            </w:r>
            <w:r>
              <w:rPr>
                <w:color w:val="0070C0"/>
              </w:rPr>
              <w:t>”</w:t>
            </w:r>
          </w:p>
        </w:tc>
      </w:tr>
      <w:bookmarkEnd w:id="4"/>
    </w:tbl>
    <w:p w14:paraId="7F0137CE" w14:textId="57BC5504" w:rsidR="00D126E2" w:rsidRDefault="00D126E2" w:rsidP="00AA6BF2"/>
    <w:sectPr w:rsidR="00D126E2" w:rsidSect="00E60569">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59B0" w14:textId="77777777" w:rsidR="00E86C19" w:rsidRDefault="00E86C19" w:rsidP="00E60569">
      <w:r>
        <w:separator/>
      </w:r>
    </w:p>
    <w:p w14:paraId="076B9A8B" w14:textId="77777777" w:rsidR="00E86C19" w:rsidRDefault="00E86C19" w:rsidP="00E60569"/>
  </w:endnote>
  <w:endnote w:type="continuationSeparator" w:id="0">
    <w:p w14:paraId="1C5882F5" w14:textId="77777777" w:rsidR="00E86C19" w:rsidRDefault="00E86C19" w:rsidP="00E60569">
      <w:r>
        <w:continuationSeparator/>
      </w:r>
    </w:p>
    <w:p w14:paraId="0AA4AD53" w14:textId="77777777" w:rsidR="00E86C19" w:rsidRDefault="00E86C19"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C9E6" w14:textId="77777777" w:rsidR="00922323" w:rsidRDefault="00922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211502E2"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sidR="003A6EC8">
          <w:rPr>
            <w:b w:val="0"/>
            <w:sz w:val="22"/>
          </w:rPr>
          <w:t>3</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9"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6B3A" w14:textId="77777777" w:rsidR="00E86C19" w:rsidRDefault="00E86C19" w:rsidP="0053685B">
      <w:pPr>
        <w:pStyle w:val="FootnoteText"/>
      </w:pPr>
      <w:r>
        <w:separator/>
      </w:r>
    </w:p>
  </w:footnote>
  <w:footnote w:type="continuationSeparator" w:id="0">
    <w:p w14:paraId="5C2640BA" w14:textId="77777777" w:rsidR="00E86C19" w:rsidRDefault="00E86C19" w:rsidP="00E60569">
      <w:r>
        <w:continuationSeparator/>
      </w:r>
    </w:p>
    <w:p w14:paraId="428DF66A" w14:textId="77777777" w:rsidR="00E86C19" w:rsidRDefault="00E86C19" w:rsidP="00E60569"/>
  </w:footnote>
  <w:footnote w:id="1">
    <w:p w14:paraId="0763EFDF" w14:textId="4FFE610F" w:rsidR="00AB55FC" w:rsidRDefault="00AB55FC">
      <w:pPr>
        <w:pStyle w:val="FootnoteText"/>
      </w:pPr>
      <w:r>
        <w:rPr>
          <w:rStyle w:val="FootnoteReference"/>
        </w:rPr>
        <w:footnoteRef/>
      </w:r>
      <w:r>
        <w:t xml:space="preserve"> Via email received at 1543 HRS, January 8, 2024, by W. Shannon Black, WECC Consultant, Standards Processes, Raj Hundal of Power reported having software issues and requested Powerex’ comments be submitted manually.</w:t>
      </w:r>
      <w:r w:rsidR="00D05D9E">
        <w:t xml:space="preserve"> </w:t>
      </w:r>
      <w:r>
        <w:t>In response, Mr. Black input the comments manually.</w:t>
      </w:r>
      <w:r w:rsidR="00D05D9E">
        <w:t xml:space="preserve"> </w:t>
      </w:r>
    </w:p>
  </w:footnote>
  <w:footnote w:id="2">
    <w:p w14:paraId="140765CD" w14:textId="2B6A067C" w:rsidR="008E7A83" w:rsidRPr="003073FA" w:rsidRDefault="008E7A83" w:rsidP="008E7A83">
      <w:pPr>
        <w:pStyle w:val="FootnoteText"/>
      </w:pPr>
      <w:r w:rsidRPr="003073FA">
        <w:rPr>
          <w:rStyle w:val="FootnoteReference"/>
        </w:rPr>
        <w:footnoteRef/>
      </w:r>
      <w:r w:rsidRPr="003073FA">
        <w:t xml:space="preserve"> See NAESB Electronic Tagging Functional Specifications, Version 1.8.</w:t>
      </w:r>
      <w:r>
        <w:t>4., or successor.</w:t>
      </w:r>
      <w:r w:rsidR="00D05D9E">
        <w:t xml:space="preserve"> </w:t>
      </w:r>
      <w:r w:rsidRPr="003073FA">
        <w:t xml:space="preserve">See also FERC Order 771, </w:t>
      </w:r>
      <w:r>
        <w:t>“</w:t>
      </w:r>
      <w:r w:rsidRPr="003073FA">
        <w:t xml:space="preserve">Availability of </w:t>
      </w:r>
      <w:r>
        <w:t>E</w:t>
      </w:r>
      <w:r w:rsidRPr="003073FA">
        <w:t xml:space="preserve">-Tag </w:t>
      </w:r>
      <w:r>
        <w:t xml:space="preserve">[sic] </w:t>
      </w:r>
      <w:r w:rsidRPr="003073FA">
        <w:t>Information to Commission Staff</w:t>
      </w:r>
      <w:r>
        <w:t>”</w:t>
      </w:r>
      <w:r w:rsidRPr="003073FA">
        <w:t>, footnote 6</w:t>
      </w:r>
      <w:r>
        <w:t xml:space="preserve">. </w:t>
      </w:r>
      <w:r w:rsidRPr="003073FA">
        <w:t>(Issued December 20, 2012), 141 FERC ¶ 61,235, 18 CFR Part 366, Docket No. RM11-12-000</w:t>
      </w:r>
    </w:p>
  </w:footnote>
  <w:footnote w:id="3">
    <w:p w14:paraId="7AD91C6C" w14:textId="1A108C1D" w:rsidR="008E7A83" w:rsidRPr="003073FA" w:rsidRDefault="008E7A83" w:rsidP="008E7A83">
      <w:pPr>
        <w:pStyle w:val="FootnoteText"/>
      </w:pPr>
      <w:r w:rsidRPr="003073FA">
        <w:rPr>
          <w:rStyle w:val="FootnoteReference"/>
        </w:rPr>
        <w:footnoteRef/>
      </w:r>
      <w:r w:rsidRPr="003073FA">
        <w:t xml:space="preserve"> </w:t>
      </w:r>
      <w:r>
        <w:t>An e</w:t>
      </w:r>
      <w:r w:rsidRPr="003073FA">
        <w:t xml:space="preserve">-Tag </w:t>
      </w:r>
      <w:r>
        <w:t>A</w:t>
      </w:r>
      <w:r w:rsidRPr="003073FA">
        <w:t>uthor</w:t>
      </w:r>
      <w:r>
        <w:t xml:space="preserve"> is </w:t>
      </w:r>
      <w:r w:rsidRPr="003073FA">
        <w:t xml:space="preserve">typically </w:t>
      </w:r>
      <w:r>
        <w:t xml:space="preserve">a </w:t>
      </w:r>
      <w:r w:rsidRPr="003073FA">
        <w:t>Purchasing-Selling Entit</w:t>
      </w:r>
      <w:r>
        <w:t>y.</w:t>
      </w:r>
      <w:r w:rsidR="00D05D9E">
        <w:t xml:space="preserve"> </w:t>
      </w:r>
      <w:r w:rsidRPr="003073FA">
        <w:t>A PSE is the entity that purchases or sells, and takes title to, energy, capacity, and Interconnected Operations Services.</w:t>
      </w:r>
      <w:r w:rsidR="00D05D9E">
        <w:t xml:space="preserve"> </w:t>
      </w:r>
      <w:r w:rsidRPr="003073FA">
        <w:t>PSEs may be affiliated or unaffiliated merchants and may or may not own generating facilities.</w:t>
      </w:r>
      <w:r w:rsidR="00D05D9E">
        <w:t xml:space="preserve"> </w:t>
      </w:r>
      <w:r w:rsidRPr="003073FA">
        <w:t>FERC Order 771.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A04B" w14:textId="1402055E" w:rsidR="00415F11" w:rsidRDefault="00D01238">
    <w:pPr>
      <w:pStyle w:val="Header"/>
    </w:pPr>
    <w:r>
      <w:rPr>
        <w:noProof/>
      </w:rPr>
      <mc:AlternateContent>
        <mc:Choice Requires="wps">
          <w:drawing>
            <wp:anchor distT="0" distB="0" distL="0" distR="0" simplePos="0" relativeHeight="251666432" behindDoc="0" locked="0" layoutInCell="1" allowOverlap="1" wp14:anchorId="2C94A245" wp14:editId="77FB8D65">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4A245"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553183">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90610" o:spid="_x0000_s1033" type="#_x0000_t136" style="position:absolute;left:0;text-align:left;margin-left:0;margin-top:0;width:620.9pt;height:89.65pt;rotation:315;z-index:-251654144;mso-position-horizontal:center;mso-position-horizontal-relative:margin;mso-position-vertical:center;mso-position-vertical-relative:margin" o:allowincell="f" fillcolor="silver" stroked="f">
          <v:fill opacity=".5"/>
          <v:textpath style="font-family:&quot;Palatino Linotype&quot;;font-size:1pt" string="Posting 2 -Tech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43D159A2" w:rsidR="00415F11" w:rsidRPr="00E5288E" w:rsidRDefault="00D01238" w:rsidP="00E60569">
    <w:pPr>
      <w:pStyle w:val="Header"/>
      <w:rPr>
        <w:sz w:val="22"/>
      </w:rPr>
    </w:pPr>
    <w:r>
      <w:rPr>
        <w:noProof/>
        <w:color w:val="00395D" w:themeColor="accent1"/>
      </w:rPr>
      <mc:AlternateContent>
        <mc:Choice Requires="wps">
          <w:drawing>
            <wp:anchor distT="0" distB="0" distL="0" distR="0" simplePos="0" relativeHeight="251667456" behindDoc="0" locked="0" layoutInCell="1" allowOverlap="1" wp14:anchorId="09C5CCE0" wp14:editId="0FABF787">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5CCE0"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553183">
      <w:rPr>
        <w:noProof/>
        <w:color w:val="00395D" w:themeColor="accent1"/>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90611" o:spid="_x0000_s1034" type="#_x0000_t136" style="position:absolute;left:0;text-align:left;margin-left:0;margin-top:0;width:620.9pt;height:89.65pt;rotation:315;z-index:-251652096;mso-position-horizontal:center;mso-position-horizontal-relative:margin;mso-position-vertical:center;mso-position-vertical-relative:margin" o:allowincell="f" fillcolor="silver" stroked="f">
          <v:fill opacity=".5"/>
          <v:textpath style="font-family:&quot;Palatino Linotype&quot;;font-size:1pt" string="Posting 2 -Tech Final"/>
          <w10:wrap anchorx="margin" anchory="margin"/>
        </v:shape>
      </w:pict>
    </w:r>
    <w:r w:rsidR="00415F11" w:rsidRPr="002271E7">
      <w:rPr>
        <w:color w:val="00395D" w:themeColor="accent1"/>
        <w:sz w:val="22"/>
      </w:rPr>
      <w:t>WECC-01</w:t>
    </w:r>
    <w:r w:rsidR="00BE049C">
      <w:rPr>
        <w:color w:val="00395D" w:themeColor="accent1"/>
        <w:sz w:val="22"/>
      </w:rPr>
      <w:t>53</w:t>
    </w:r>
    <w:r w:rsidR="009C3103">
      <w:rPr>
        <w:color w:val="00395D" w:themeColor="accent1"/>
        <w:sz w:val="22"/>
      </w:rPr>
      <w:t xml:space="preserve"> R</w:t>
    </w:r>
    <w:r w:rsidR="00415F11" w:rsidRPr="002271E7">
      <w:rPr>
        <w:color w:val="00395D" w:themeColor="accent1"/>
        <w:sz w:val="22"/>
      </w:rPr>
      <w:t xml:space="preserve">esponse to Comments Posting </w:t>
    </w:r>
    <w:r w:rsidR="004B411E">
      <w:rPr>
        <w:color w:val="00395D" w:themeColor="accent1"/>
        <w:sz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D16F" w14:textId="730F14E4" w:rsidR="00BE049C" w:rsidRDefault="00D01238" w:rsidP="00D05D9E">
    <w:pPr>
      <w:pStyle w:val="Header"/>
      <w:rPr>
        <w:bCs/>
      </w:rPr>
    </w:pPr>
    <w:r>
      <w:rPr>
        <w:noProof/>
      </w:rPr>
      <mc:AlternateContent>
        <mc:Choice Requires="wps">
          <w:drawing>
            <wp:anchor distT="0" distB="0" distL="0" distR="0" simplePos="0" relativeHeight="251665408" behindDoc="0" locked="0" layoutInCell="1" allowOverlap="1" wp14:anchorId="1C281B09" wp14:editId="76A6B462">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81B09"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553183">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90609" o:spid="_x0000_s1032" type="#_x0000_t136" style="position:absolute;left:0;text-align:left;margin-left:0;margin-top:0;width:620.9pt;height:89.65pt;rotation:315;z-index:-251656192;mso-position-horizontal:center;mso-position-horizontal-relative:margin;mso-position-vertical:center;mso-position-vertical-relative:margin" o:allowincell="f" fillcolor="silver" stroked="f">
          <v:fill opacity=".5"/>
          <v:textpath style="font-family:&quot;Palatino Linotype&quot;;font-size:1pt" string="Posting 2 -Tech Final"/>
          <w10:wrap anchorx="margin" anchory="margin"/>
        </v:shape>
      </w:pict>
    </w:r>
    <w:r w:rsidR="00415F11">
      <w:rPr>
        <w:noProof/>
      </w:rPr>
      <w:drawing>
        <wp:anchor distT="0" distB="0" distL="114300" distR="114300" simplePos="0" relativeHeight="251658240" behindDoc="1" locked="0" layoutInCell="1" allowOverlap="1" wp14:anchorId="596D6C42" wp14:editId="6488E6E7">
          <wp:simplePos x="0" y="0"/>
          <wp:positionH relativeFrom="column">
            <wp:posOffset>4445</wp:posOffset>
          </wp:positionH>
          <wp:positionV relativeFrom="paragraph">
            <wp:posOffset>77470</wp:posOffset>
          </wp:positionV>
          <wp:extent cx="2286000" cy="732662"/>
          <wp:effectExtent l="0" t="0" r="0" b="0"/>
          <wp:wrapTight wrapText="bothSides">
            <wp:wrapPolygon edited="0">
              <wp:start x="3420" y="0"/>
              <wp:lineTo x="0" y="1686"/>
              <wp:lineTo x="0" y="3934"/>
              <wp:lineTo x="720" y="8992"/>
              <wp:lineTo x="0" y="17984"/>
              <wp:lineTo x="0" y="20794"/>
              <wp:lineTo x="21420" y="20794"/>
              <wp:lineTo x="21420" y="17984"/>
              <wp:lineTo x="20520" y="17984"/>
              <wp:lineTo x="21420" y="10116"/>
              <wp:lineTo x="21420" y="8430"/>
              <wp:lineTo x="21240" y="4496"/>
              <wp:lineTo x="4500" y="0"/>
              <wp:lineTo x="34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286000" cy="732662"/>
                  </a:xfrm>
                  <a:prstGeom prst="rect">
                    <a:avLst/>
                  </a:prstGeom>
                </pic:spPr>
              </pic:pic>
            </a:graphicData>
          </a:graphic>
          <wp14:sizeRelH relativeFrom="page">
            <wp14:pctWidth>0</wp14:pctWidth>
          </wp14:sizeRelH>
          <wp14:sizeRelV relativeFrom="page">
            <wp14:pctHeight>0</wp14:pctHeight>
          </wp14:sizeRelV>
        </wp:anchor>
      </w:drawing>
    </w:r>
    <w:bookmarkStart w:id="8" w:name="_Hlk23152673"/>
    <w:r w:rsidR="009C3103" w:rsidRPr="009C3103">
      <w:rPr>
        <w:bCs/>
      </w:rPr>
      <w:t>WECC-01</w:t>
    </w:r>
    <w:r w:rsidR="00BE049C">
      <w:rPr>
        <w:bCs/>
      </w:rPr>
      <w:t xml:space="preserve">53 INT Consolidated Criterion </w:t>
    </w:r>
  </w:p>
  <w:p w14:paraId="35CBA0A3" w14:textId="2CE4869B" w:rsidR="009C3103" w:rsidRPr="009C3103" w:rsidRDefault="009C3103" w:rsidP="009C3103">
    <w:pPr>
      <w:pStyle w:val="Header"/>
      <w:rPr>
        <w:bCs/>
      </w:rPr>
    </w:pPr>
    <w:r w:rsidRPr="009C3103">
      <w:rPr>
        <w:bCs/>
      </w:rPr>
      <w:t xml:space="preserve">Response to Comments Posting </w:t>
    </w:r>
    <w:r w:rsidR="004B411E">
      <w:rPr>
        <w:bCs/>
      </w:rPr>
      <w:t>2</w:t>
    </w:r>
    <w:r w:rsidRPr="009C3103">
      <w:rPr>
        <w:bCs/>
      </w:rPr>
      <w:t xml:space="preserve"> </w:t>
    </w:r>
  </w:p>
  <w:p w14:paraId="4413C020" w14:textId="77777777" w:rsidR="004B411E" w:rsidRDefault="004B411E" w:rsidP="00833E1A">
    <w:pPr>
      <w:pStyle w:val="Header"/>
      <w:rPr>
        <w:bCs/>
      </w:rPr>
    </w:pPr>
    <w:r>
      <w:rPr>
        <w:bCs/>
      </w:rPr>
      <w:t>November 24, 2023</w:t>
    </w:r>
  </w:p>
  <w:p w14:paraId="3ECFA553" w14:textId="0CB561CF" w:rsidR="009564EE" w:rsidRDefault="004B411E" w:rsidP="00833E1A">
    <w:pPr>
      <w:pStyle w:val="Header"/>
      <w:rPr>
        <w:bCs/>
      </w:rPr>
    </w:pPr>
    <w:r>
      <w:rPr>
        <w:bCs/>
      </w:rPr>
      <w:t>Through January 8, 2024</w:t>
    </w: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08D14CF"/>
    <w:multiLevelType w:val="hybridMultilevel"/>
    <w:tmpl w:val="E3FA76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0579E"/>
    <w:multiLevelType w:val="hybridMultilevel"/>
    <w:tmpl w:val="3530ED8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0663F"/>
    <w:multiLevelType w:val="hybridMultilevel"/>
    <w:tmpl w:val="9BD2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45D96"/>
    <w:multiLevelType w:val="hybridMultilevel"/>
    <w:tmpl w:val="2606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7"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F04937"/>
    <w:multiLevelType w:val="multilevel"/>
    <w:tmpl w:val="22D0F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EFA67B0"/>
    <w:multiLevelType w:val="hybridMultilevel"/>
    <w:tmpl w:val="E94C8566"/>
    <w:lvl w:ilvl="0" w:tplc="E4F6550A">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31"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2" w15:restartNumberingAfterBreak="0">
    <w:nsid w:val="60990E7B"/>
    <w:multiLevelType w:val="hybridMultilevel"/>
    <w:tmpl w:val="6E2034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A7887"/>
    <w:multiLevelType w:val="hybridMultilevel"/>
    <w:tmpl w:val="27BA730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7"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40"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43"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3361D0C"/>
    <w:multiLevelType w:val="hybridMultilevel"/>
    <w:tmpl w:val="99FCCD24"/>
    <w:lvl w:ilvl="0" w:tplc="9E7095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603012">
    <w:abstractNumId w:val="43"/>
  </w:num>
  <w:num w:numId="2" w16cid:durableId="2004819147">
    <w:abstractNumId w:val="26"/>
  </w:num>
  <w:num w:numId="3" w16cid:durableId="541284196">
    <w:abstractNumId w:val="7"/>
  </w:num>
  <w:num w:numId="4" w16cid:durableId="2048681086">
    <w:abstractNumId w:val="16"/>
  </w:num>
  <w:num w:numId="5" w16cid:durableId="1285845079">
    <w:abstractNumId w:val="44"/>
  </w:num>
  <w:num w:numId="6" w16cid:durableId="993610144">
    <w:abstractNumId w:val="18"/>
  </w:num>
  <w:num w:numId="7" w16cid:durableId="1059088646">
    <w:abstractNumId w:val="42"/>
  </w:num>
  <w:num w:numId="8" w16cid:durableId="629553841">
    <w:abstractNumId w:val="31"/>
  </w:num>
  <w:num w:numId="9" w16cid:durableId="1197894128">
    <w:abstractNumId w:val="38"/>
  </w:num>
  <w:num w:numId="10" w16cid:durableId="1186821129">
    <w:abstractNumId w:val="17"/>
  </w:num>
  <w:num w:numId="11" w16cid:durableId="1887141875">
    <w:abstractNumId w:val="17"/>
    <w:lvlOverride w:ilvl="0">
      <w:startOverride w:val="1"/>
    </w:lvlOverride>
  </w:num>
  <w:num w:numId="12" w16cid:durableId="462306570">
    <w:abstractNumId w:val="19"/>
  </w:num>
  <w:num w:numId="13" w16cid:durableId="1215308465">
    <w:abstractNumId w:val="12"/>
  </w:num>
  <w:num w:numId="14" w16cid:durableId="1237280730">
    <w:abstractNumId w:val="41"/>
  </w:num>
  <w:num w:numId="15" w16cid:durableId="1257245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078810">
    <w:abstractNumId w:val="3"/>
  </w:num>
  <w:num w:numId="17" w16cid:durableId="1150054220">
    <w:abstractNumId w:val="28"/>
  </w:num>
  <w:num w:numId="18" w16cid:durableId="490831068">
    <w:abstractNumId w:val="10"/>
  </w:num>
  <w:num w:numId="19" w16cid:durableId="982462458">
    <w:abstractNumId w:val="15"/>
  </w:num>
  <w:num w:numId="20" w16cid:durableId="97408712">
    <w:abstractNumId w:val="46"/>
  </w:num>
  <w:num w:numId="21" w16cid:durableId="512114438">
    <w:abstractNumId w:val="40"/>
  </w:num>
  <w:num w:numId="22" w16cid:durableId="546570705">
    <w:abstractNumId w:val="17"/>
    <w:lvlOverride w:ilvl="0">
      <w:startOverride w:val="1"/>
    </w:lvlOverride>
  </w:num>
  <w:num w:numId="23" w16cid:durableId="437025758">
    <w:abstractNumId w:val="1"/>
  </w:num>
  <w:num w:numId="24" w16cid:durableId="297229374">
    <w:abstractNumId w:val="4"/>
  </w:num>
  <w:num w:numId="25" w16cid:durableId="1619145500">
    <w:abstractNumId w:val="33"/>
  </w:num>
  <w:num w:numId="26" w16cid:durableId="1661736545">
    <w:abstractNumId w:val="2"/>
  </w:num>
  <w:num w:numId="27" w16cid:durableId="1905067524">
    <w:abstractNumId w:val="23"/>
  </w:num>
  <w:num w:numId="28" w16cid:durableId="642320780">
    <w:abstractNumId w:val="14"/>
  </w:num>
  <w:num w:numId="29" w16cid:durableId="1931348032">
    <w:abstractNumId w:val="6"/>
  </w:num>
  <w:num w:numId="30" w16cid:durableId="1868906231">
    <w:abstractNumId w:val="27"/>
  </w:num>
  <w:num w:numId="31" w16cid:durableId="16053091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981038">
    <w:abstractNumId w:val="5"/>
  </w:num>
  <w:num w:numId="33" w16cid:durableId="1589658914">
    <w:abstractNumId w:val="22"/>
  </w:num>
  <w:num w:numId="34" w16cid:durableId="700670393">
    <w:abstractNumId w:val="34"/>
  </w:num>
  <w:num w:numId="35" w16cid:durableId="1005547707">
    <w:abstractNumId w:val="39"/>
  </w:num>
  <w:num w:numId="36" w16cid:durableId="1789466786">
    <w:abstractNumId w:val="9"/>
  </w:num>
  <w:num w:numId="37" w16cid:durableId="1097673525">
    <w:abstractNumId w:val="20"/>
  </w:num>
  <w:num w:numId="38" w16cid:durableId="1626428904">
    <w:abstractNumId w:val="35"/>
  </w:num>
  <w:num w:numId="39" w16cid:durableId="1290285496">
    <w:abstractNumId w:val="17"/>
  </w:num>
  <w:num w:numId="40" w16cid:durableId="1667509819">
    <w:abstractNumId w:val="32"/>
  </w:num>
  <w:num w:numId="41" w16cid:durableId="1085762141">
    <w:abstractNumId w:val="30"/>
  </w:num>
  <w:num w:numId="42" w16cid:durableId="677387277">
    <w:abstractNumId w:val="8"/>
  </w:num>
  <w:num w:numId="43" w16cid:durableId="969895220">
    <w:abstractNumId w:val="25"/>
  </w:num>
  <w:num w:numId="44" w16cid:durableId="1082487526">
    <w:abstractNumId w:val="36"/>
  </w:num>
  <w:num w:numId="45" w16cid:durableId="39987365">
    <w:abstractNumId w:val="21"/>
  </w:num>
  <w:num w:numId="46" w16cid:durableId="289673033">
    <w:abstractNumId w:val="11"/>
  </w:num>
  <w:num w:numId="47" w16cid:durableId="815031738">
    <w:abstractNumId w:val="24"/>
  </w:num>
  <w:num w:numId="48" w16cid:durableId="10888457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0550656">
    <w:abstractNumId w:val="45"/>
  </w:num>
  <w:num w:numId="50" w16cid:durableId="17858860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37A9"/>
    <w:rsid w:val="00035493"/>
    <w:rsid w:val="000373A1"/>
    <w:rsid w:val="00042E09"/>
    <w:rsid w:val="00044F3E"/>
    <w:rsid w:val="0004659E"/>
    <w:rsid w:val="000544F0"/>
    <w:rsid w:val="00060803"/>
    <w:rsid w:val="000625C8"/>
    <w:rsid w:val="00062FD5"/>
    <w:rsid w:val="00064067"/>
    <w:rsid w:val="0006553B"/>
    <w:rsid w:val="0006630A"/>
    <w:rsid w:val="00067501"/>
    <w:rsid w:val="00071D3D"/>
    <w:rsid w:val="00071F78"/>
    <w:rsid w:val="000733F6"/>
    <w:rsid w:val="00077FA9"/>
    <w:rsid w:val="000833A8"/>
    <w:rsid w:val="0008403E"/>
    <w:rsid w:val="00090829"/>
    <w:rsid w:val="00091311"/>
    <w:rsid w:val="00092CB5"/>
    <w:rsid w:val="00096702"/>
    <w:rsid w:val="00097921"/>
    <w:rsid w:val="000A1755"/>
    <w:rsid w:val="000A3533"/>
    <w:rsid w:val="000A4DDD"/>
    <w:rsid w:val="000A7509"/>
    <w:rsid w:val="000B3448"/>
    <w:rsid w:val="000B360E"/>
    <w:rsid w:val="000B364E"/>
    <w:rsid w:val="000B6418"/>
    <w:rsid w:val="000C22A2"/>
    <w:rsid w:val="000D3E2E"/>
    <w:rsid w:val="000D56D6"/>
    <w:rsid w:val="000D63FA"/>
    <w:rsid w:val="000D7344"/>
    <w:rsid w:val="000E3160"/>
    <w:rsid w:val="000E5CC7"/>
    <w:rsid w:val="000F3CFC"/>
    <w:rsid w:val="000F5D12"/>
    <w:rsid w:val="000F614E"/>
    <w:rsid w:val="000F7B31"/>
    <w:rsid w:val="0010153E"/>
    <w:rsid w:val="001040CC"/>
    <w:rsid w:val="00104AE7"/>
    <w:rsid w:val="00105B18"/>
    <w:rsid w:val="00106394"/>
    <w:rsid w:val="0010640C"/>
    <w:rsid w:val="001079A8"/>
    <w:rsid w:val="0011358A"/>
    <w:rsid w:val="00116C5E"/>
    <w:rsid w:val="001208EE"/>
    <w:rsid w:val="0012474D"/>
    <w:rsid w:val="001329AD"/>
    <w:rsid w:val="00135202"/>
    <w:rsid w:val="00135654"/>
    <w:rsid w:val="00143454"/>
    <w:rsid w:val="001469BB"/>
    <w:rsid w:val="001512EE"/>
    <w:rsid w:val="00160911"/>
    <w:rsid w:val="001636D2"/>
    <w:rsid w:val="00171A03"/>
    <w:rsid w:val="001727D3"/>
    <w:rsid w:val="00185D80"/>
    <w:rsid w:val="001864C5"/>
    <w:rsid w:val="001A6A21"/>
    <w:rsid w:val="001B5EEC"/>
    <w:rsid w:val="001B7CE9"/>
    <w:rsid w:val="001C2248"/>
    <w:rsid w:val="001C497F"/>
    <w:rsid w:val="001C5A59"/>
    <w:rsid w:val="001C7E2D"/>
    <w:rsid w:val="001E12D2"/>
    <w:rsid w:val="001E1B6F"/>
    <w:rsid w:val="001E561E"/>
    <w:rsid w:val="001F1BBC"/>
    <w:rsid w:val="001F3FA9"/>
    <w:rsid w:val="001F739D"/>
    <w:rsid w:val="00202A82"/>
    <w:rsid w:val="00203374"/>
    <w:rsid w:val="00206057"/>
    <w:rsid w:val="00207C13"/>
    <w:rsid w:val="00214DEF"/>
    <w:rsid w:val="00216976"/>
    <w:rsid w:val="00220016"/>
    <w:rsid w:val="002201AF"/>
    <w:rsid w:val="0022181C"/>
    <w:rsid w:val="0022514A"/>
    <w:rsid w:val="002267AC"/>
    <w:rsid w:val="002271E7"/>
    <w:rsid w:val="00233175"/>
    <w:rsid w:val="00233E12"/>
    <w:rsid w:val="002362EC"/>
    <w:rsid w:val="0024031F"/>
    <w:rsid w:val="002425F0"/>
    <w:rsid w:val="002431E3"/>
    <w:rsid w:val="002460EF"/>
    <w:rsid w:val="0025463C"/>
    <w:rsid w:val="00257404"/>
    <w:rsid w:val="00262429"/>
    <w:rsid w:val="002634B4"/>
    <w:rsid w:val="00263D03"/>
    <w:rsid w:val="0027007A"/>
    <w:rsid w:val="00270172"/>
    <w:rsid w:val="002703EA"/>
    <w:rsid w:val="002741CD"/>
    <w:rsid w:val="002750A4"/>
    <w:rsid w:val="002779B8"/>
    <w:rsid w:val="002804E5"/>
    <w:rsid w:val="00287368"/>
    <w:rsid w:val="00290615"/>
    <w:rsid w:val="002A1821"/>
    <w:rsid w:val="002A6673"/>
    <w:rsid w:val="002B1949"/>
    <w:rsid w:val="002B4DA5"/>
    <w:rsid w:val="002C0B4D"/>
    <w:rsid w:val="002C1AB2"/>
    <w:rsid w:val="002C5320"/>
    <w:rsid w:val="002D79C5"/>
    <w:rsid w:val="002E1330"/>
    <w:rsid w:val="002E291A"/>
    <w:rsid w:val="002E354E"/>
    <w:rsid w:val="002E355D"/>
    <w:rsid w:val="002F4156"/>
    <w:rsid w:val="00307CFC"/>
    <w:rsid w:val="003218A8"/>
    <w:rsid w:val="00322E28"/>
    <w:rsid w:val="00323BC9"/>
    <w:rsid w:val="00324BF2"/>
    <w:rsid w:val="00325D2C"/>
    <w:rsid w:val="00336765"/>
    <w:rsid w:val="00337ECC"/>
    <w:rsid w:val="0034063B"/>
    <w:rsid w:val="0034465D"/>
    <w:rsid w:val="00352EC0"/>
    <w:rsid w:val="0035498A"/>
    <w:rsid w:val="0035688D"/>
    <w:rsid w:val="00360161"/>
    <w:rsid w:val="0036314F"/>
    <w:rsid w:val="0036534C"/>
    <w:rsid w:val="00370BF3"/>
    <w:rsid w:val="00371F31"/>
    <w:rsid w:val="00373E5B"/>
    <w:rsid w:val="003802FB"/>
    <w:rsid w:val="003826D4"/>
    <w:rsid w:val="00383C9E"/>
    <w:rsid w:val="00391626"/>
    <w:rsid w:val="003918C8"/>
    <w:rsid w:val="0039619C"/>
    <w:rsid w:val="003970D5"/>
    <w:rsid w:val="003A001E"/>
    <w:rsid w:val="003A079E"/>
    <w:rsid w:val="003A1E3E"/>
    <w:rsid w:val="003A1EB3"/>
    <w:rsid w:val="003A5038"/>
    <w:rsid w:val="003A6AAB"/>
    <w:rsid w:val="003A6EC8"/>
    <w:rsid w:val="003B7782"/>
    <w:rsid w:val="003C47B7"/>
    <w:rsid w:val="003D2CA0"/>
    <w:rsid w:val="003D455A"/>
    <w:rsid w:val="003D4E9D"/>
    <w:rsid w:val="003D767B"/>
    <w:rsid w:val="003E1973"/>
    <w:rsid w:val="003E37FE"/>
    <w:rsid w:val="003E4CC0"/>
    <w:rsid w:val="003E5939"/>
    <w:rsid w:val="003E6D2D"/>
    <w:rsid w:val="003E7DCF"/>
    <w:rsid w:val="003F3940"/>
    <w:rsid w:val="003F4AD9"/>
    <w:rsid w:val="003F6838"/>
    <w:rsid w:val="003F7D87"/>
    <w:rsid w:val="00411EBC"/>
    <w:rsid w:val="00415F11"/>
    <w:rsid w:val="00415FD3"/>
    <w:rsid w:val="004165AD"/>
    <w:rsid w:val="00416F6B"/>
    <w:rsid w:val="00423101"/>
    <w:rsid w:val="0043393A"/>
    <w:rsid w:val="0043738A"/>
    <w:rsid w:val="0044319B"/>
    <w:rsid w:val="00443B47"/>
    <w:rsid w:val="00444FCF"/>
    <w:rsid w:val="00454D47"/>
    <w:rsid w:val="004576EC"/>
    <w:rsid w:val="004578CE"/>
    <w:rsid w:val="00466D5C"/>
    <w:rsid w:val="00473124"/>
    <w:rsid w:val="004751C7"/>
    <w:rsid w:val="004804B2"/>
    <w:rsid w:val="00480865"/>
    <w:rsid w:val="0048182D"/>
    <w:rsid w:val="004833F2"/>
    <w:rsid w:val="00483713"/>
    <w:rsid w:val="00483A71"/>
    <w:rsid w:val="00494F89"/>
    <w:rsid w:val="0049639E"/>
    <w:rsid w:val="004A043C"/>
    <w:rsid w:val="004A0BC8"/>
    <w:rsid w:val="004A2C9C"/>
    <w:rsid w:val="004A2CA6"/>
    <w:rsid w:val="004A5A5A"/>
    <w:rsid w:val="004A61E0"/>
    <w:rsid w:val="004B393E"/>
    <w:rsid w:val="004B411E"/>
    <w:rsid w:val="004C1B4D"/>
    <w:rsid w:val="004D1F97"/>
    <w:rsid w:val="004D30E6"/>
    <w:rsid w:val="004E2509"/>
    <w:rsid w:val="004E2C81"/>
    <w:rsid w:val="004E3D0A"/>
    <w:rsid w:val="004E7D99"/>
    <w:rsid w:val="004F24DB"/>
    <w:rsid w:val="004F352F"/>
    <w:rsid w:val="00504175"/>
    <w:rsid w:val="00504559"/>
    <w:rsid w:val="00504EEE"/>
    <w:rsid w:val="0050729A"/>
    <w:rsid w:val="00507977"/>
    <w:rsid w:val="00507DC5"/>
    <w:rsid w:val="00513832"/>
    <w:rsid w:val="005144DB"/>
    <w:rsid w:val="00516938"/>
    <w:rsid w:val="00516DBC"/>
    <w:rsid w:val="00523296"/>
    <w:rsid w:val="00533CFD"/>
    <w:rsid w:val="0053685B"/>
    <w:rsid w:val="00550DB3"/>
    <w:rsid w:val="00553183"/>
    <w:rsid w:val="0056149A"/>
    <w:rsid w:val="00571E4F"/>
    <w:rsid w:val="00572A66"/>
    <w:rsid w:val="00574CF9"/>
    <w:rsid w:val="00581D6A"/>
    <w:rsid w:val="005852D5"/>
    <w:rsid w:val="00591600"/>
    <w:rsid w:val="00591960"/>
    <w:rsid w:val="00593A42"/>
    <w:rsid w:val="00597BEB"/>
    <w:rsid w:val="00597D38"/>
    <w:rsid w:val="005A1B26"/>
    <w:rsid w:val="005A2805"/>
    <w:rsid w:val="005A289B"/>
    <w:rsid w:val="005A48F3"/>
    <w:rsid w:val="005A673C"/>
    <w:rsid w:val="005A728A"/>
    <w:rsid w:val="005A7A13"/>
    <w:rsid w:val="005B075B"/>
    <w:rsid w:val="005B679F"/>
    <w:rsid w:val="005B6E87"/>
    <w:rsid w:val="005C4DB3"/>
    <w:rsid w:val="005C5132"/>
    <w:rsid w:val="005C7F62"/>
    <w:rsid w:val="005D2FE6"/>
    <w:rsid w:val="005D3F69"/>
    <w:rsid w:val="005D7F49"/>
    <w:rsid w:val="005E36FF"/>
    <w:rsid w:val="005E461E"/>
    <w:rsid w:val="005E60E2"/>
    <w:rsid w:val="005E7AB7"/>
    <w:rsid w:val="005F5FB9"/>
    <w:rsid w:val="005F7350"/>
    <w:rsid w:val="006001CA"/>
    <w:rsid w:val="00601110"/>
    <w:rsid w:val="00603AC2"/>
    <w:rsid w:val="00603CB7"/>
    <w:rsid w:val="00611EB5"/>
    <w:rsid w:val="0061413B"/>
    <w:rsid w:val="00617889"/>
    <w:rsid w:val="006244F4"/>
    <w:rsid w:val="0062691A"/>
    <w:rsid w:val="00633476"/>
    <w:rsid w:val="00636BEB"/>
    <w:rsid w:val="006370DF"/>
    <w:rsid w:val="00641123"/>
    <w:rsid w:val="00642F46"/>
    <w:rsid w:val="006466CB"/>
    <w:rsid w:val="00647577"/>
    <w:rsid w:val="006501CE"/>
    <w:rsid w:val="006532F2"/>
    <w:rsid w:val="006550D8"/>
    <w:rsid w:val="006633E0"/>
    <w:rsid w:val="00672A0E"/>
    <w:rsid w:val="00673614"/>
    <w:rsid w:val="0068547F"/>
    <w:rsid w:val="006946CE"/>
    <w:rsid w:val="00695203"/>
    <w:rsid w:val="006A10DF"/>
    <w:rsid w:val="006A143D"/>
    <w:rsid w:val="006A57E4"/>
    <w:rsid w:val="006A6A7B"/>
    <w:rsid w:val="006B10F7"/>
    <w:rsid w:val="006B1D6B"/>
    <w:rsid w:val="006B2A25"/>
    <w:rsid w:val="006C0A2C"/>
    <w:rsid w:val="006D2BCD"/>
    <w:rsid w:val="006D382D"/>
    <w:rsid w:val="006D555D"/>
    <w:rsid w:val="006E1C73"/>
    <w:rsid w:val="006E6397"/>
    <w:rsid w:val="006F6E46"/>
    <w:rsid w:val="007045F9"/>
    <w:rsid w:val="00706A70"/>
    <w:rsid w:val="007130D6"/>
    <w:rsid w:val="00714314"/>
    <w:rsid w:val="007164BD"/>
    <w:rsid w:val="00716BCC"/>
    <w:rsid w:val="007176F3"/>
    <w:rsid w:val="00721EE8"/>
    <w:rsid w:val="007342C5"/>
    <w:rsid w:val="00735DF8"/>
    <w:rsid w:val="0073777A"/>
    <w:rsid w:val="0074040B"/>
    <w:rsid w:val="00741A49"/>
    <w:rsid w:val="00742144"/>
    <w:rsid w:val="007511E4"/>
    <w:rsid w:val="00761FA8"/>
    <w:rsid w:val="00762499"/>
    <w:rsid w:val="00762843"/>
    <w:rsid w:val="00765CED"/>
    <w:rsid w:val="00773161"/>
    <w:rsid w:val="00777338"/>
    <w:rsid w:val="00782755"/>
    <w:rsid w:val="00783B89"/>
    <w:rsid w:val="00790B1F"/>
    <w:rsid w:val="00791F9C"/>
    <w:rsid w:val="00794287"/>
    <w:rsid w:val="0079574D"/>
    <w:rsid w:val="00795B5F"/>
    <w:rsid w:val="00796944"/>
    <w:rsid w:val="00796CF4"/>
    <w:rsid w:val="007974EB"/>
    <w:rsid w:val="007A1A57"/>
    <w:rsid w:val="007A400F"/>
    <w:rsid w:val="007A46E1"/>
    <w:rsid w:val="007A4E9C"/>
    <w:rsid w:val="007A64C7"/>
    <w:rsid w:val="007B2D74"/>
    <w:rsid w:val="007B3DEE"/>
    <w:rsid w:val="007B3F25"/>
    <w:rsid w:val="007B61D0"/>
    <w:rsid w:val="007B7D2E"/>
    <w:rsid w:val="007C1F04"/>
    <w:rsid w:val="007C2E8E"/>
    <w:rsid w:val="007C4454"/>
    <w:rsid w:val="007D10F7"/>
    <w:rsid w:val="007D236B"/>
    <w:rsid w:val="007D2436"/>
    <w:rsid w:val="007D3944"/>
    <w:rsid w:val="007E0446"/>
    <w:rsid w:val="007E11F2"/>
    <w:rsid w:val="007E3A44"/>
    <w:rsid w:val="007F3360"/>
    <w:rsid w:val="007F3E82"/>
    <w:rsid w:val="007F44E5"/>
    <w:rsid w:val="0080492E"/>
    <w:rsid w:val="00804B5D"/>
    <w:rsid w:val="00807773"/>
    <w:rsid w:val="008110DF"/>
    <w:rsid w:val="008117E5"/>
    <w:rsid w:val="00813C43"/>
    <w:rsid w:val="008150B2"/>
    <w:rsid w:val="008161B2"/>
    <w:rsid w:val="00823036"/>
    <w:rsid w:val="008246F4"/>
    <w:rsid w:val="008279AC"/>
    <w:rsid w:val="0083062F"/>
    <w:rsid w:val="00833E1A"/>
    <w:rsid w:val="008356DA"/>
    <w:rsid w:val="0084086C"/>
    <w:rsid w:val="00843E7D"/>
    <w:rsid w:val="008446F5"/>
    <w:rsid w:val="008453E1"/>
    <w:rsid w:val="00855B6B"/>
    <w:rsid w:val="008569D3"/>
    <w:rsid w:val="008575F4"/>
    <w:rsid w:val="00864C89"/>
    <w:rsid w:val="00871FD3"/>
    <w:rsid w:val="00874BBC"/>
    <w:rsid w:val="00880244"/>
    <w:rsid w:val="00882F0D"/>
    <w:rsid w:val="00890A01"/>
    <w:rsid w:val="0089135E"/>
    <w:rsid w:val="00891439"/>
    <w:rsid w:val="008A57E3"/>
    <w:rsid w:val="008B1F42"/>
    <w:rsid w:val="008B4DD7"/>
    <w:rsid w:val="008B6516"/>
    <w:rsid w:val="008B7E87"/>
    <w:rsid w:val="008C2815"/>
    <w:rsid w:val="008C4F51"/>
    <w:rsid w:val="008C6B3F"/>
    <w:rsid w:val="008D34AA"/>
    <w:rsid w:val="008D7432"/>
    <w:rsid w:val="008E2D28"/>
    <w:rsid w:val="008E5D48"/>
    <w:rsid w:val="008E7488"/>
    <w:rsid w:val="008E7A83"/>
    <w:rsid w:val="008E7FEE"/>
    <w:rsid w:val="008F0248"/>
    <w:rsid w:val="008F14B2"/>
    <w:rsid w:val="008F3E53"/>
    <w:rsid w:val="008F5FA1"/>
    <w:rsid w:val="008F7C42"/>
    <w:rsid w:val="009033AC"/>
    <w:rsid w:val="00913528"/>
    <w:rsid w:val="00914794"/>
    <w:rsid w:val="00914865"/>
    <w:rsid w:val="00917197"/>
    <w:rsid w:val="0091755C"/>
    <w:rsid w:val="00922323"/>
    <w:rsid w:val="00926A2E"/>
    <w:rsid w:val="00931844"/>
    <w:rsid w:val="00936CB8"/>
    <w:rsid w:val="009373C2"/>
    <w:rsid w:val="0094025E"/>
    <w:rsid w:val="00945920"/>
    <w:rsid w:val="00953D87"/>
    <w:rsid w:val="00955581"/>
    <w:rsid w:val="009564EE"/>
    <w:rsid w:val="009619AE"/>
    <w:rsid w:val="00965469"/>
    <w:rsid w:val="009664A1"/>
    <w:rsid w:val="0096709D"/>
    <w:rsid w:val="0097099E"/>
    <w:rsid w:val="0097235D"/>
    <w:rsid w:val="00973BFC"/>
    <w:rsid w:val="00973DB0"/>
    <w:rsid w:val="009760A9"/>
    <w:rsid w:val="009762D5"/>
    <w:rsid w:val="00977C61"/>
    <w:rsid w:val="0098286B"/>
    <w:rsid w:val="009A4894"/>
    <w:rsid w:val="009A4D48"/>
    <w:rsid w:val="009A5DB1"/>
    <w:rsid w:val="009B19EE"/>
    <w:rsid w:val="009B37B4"/>
    <w:rsid w:val="009B5510"/>
    <w:rsid w:val="009C1A37"/>
    <w:rsid w:val="009C3103"/>
    <w:rsid w:val="009C5307"/>
    <w:rsid w:val="009D2CEE"/>
    <w:rsid w:val="009E040B"/>
    <w:rsid w:val="009E1D07"/>
    <w:rsid w:val="009F0396"/>
    <w:rsid w:val="009F163A"/>
    <w:rsid w:val="009F509D"/>
    <w:rsid w:val="009F530F"/>
    <w:rsid w:val="009F5663"/>
    <w:rsid w:val="00A00E6E"/>
    <w:rsid w:val="00A1463B"/>
    <w:rsid w:val="00A231E9"/>
    <w:rsid w:val="00A25718"/>
    <w:rsid w:val="00A25B0B"/>
    <w:rsid w:val="00A27E3A"/>
    <w:rsid w:val="00A323FE"/>
    <w:rsid w:val="00A32B37"/>
    <w:rsid w:val="00A370C6"/>
    <w:rsid w:val="00A40A76"/>
    <w:rsid w:val="00A454BF"/>
    <w:rsid w:val="00A503C4"/>
    <w:rsid w:val="00A50731"/>
    <w:rsid w:val="00A55FDC"/>
    <w:rsid w:val="00A80B6E"/>
    <w:rsid w:val="00A9036D"/>
    <w:rsid w:val="00A90E38"/>
    <w:rsid w:val="00A90E43"/>
    <w:rsid w:val="00A91FC7"/>
    <w:rsid w:val="00A928D5"/>
    <w:rsid w:val="00A9537C"/>
    <w:rsid w:val="00AA1142"/>
    <w:rsid w:val="00AA28B5"/>
    <w:rsid w:val="00AA4836"/>
    <w:rsid w:val="00AA6BF2"/>
    <w:rsid w:val="00AA7261"/>
    <w:rsid w:val="00AB2A51"/>
    <w:rsid w:val="00AB2D32"/>
    <w:rsid w:val="00AB55FC"/>
    <w:rsid w:val="00AB67FE"/>
    <w:rsid w:val="00AC1FA6"/>
    <w:rsid w:val="00AD06CB"/>
    <w:rsid w:val="00AD06D5"/>
    <w:rsid w:val="00AD1A1C"/>
    <w:rsid w:val="00AD1F7D"/>
    <w:rsid w:val="00AE4F6F"/>
    <w:rsid w:val="00B0700F"/>
    <w:rsid w:val="00B076C7"/>
    <w:rsid w:val="00B1133D"/>
    <w:rsid w:val="00B14047"/>
    <w:rsid w:val="00B14107"/>
    <w:rsid w:val="00B1669F"/>
    <w:rsid w:val="00B17C66"/>
    <w:rsid w:val="00B22104"/>
    <w:rsid w:val="00B2238A"/>
    <w:rsid w:val="00B2334C"/>
    <w:rsid w:val="00B24F85"/>
    <w:rsid w:val="00B327DC"/>
    <w:rsid w:val="00B34663"/>
    <w:rsid w:val="00B3575F"/>
    <w:rsid w:val="00B35E63"/>
    <w:rsid w:val="00B41360"/>
    <w:rsid w:val="00B41561"/>
    <w:rsid w:val="00B41D6B"/>
    <w:rsid w:val="00B41EAD"/>
    <w:rsid w:val="00B437B5"/>
    <w:rsid w:val="00B44DA8"/>
    <w:rsid w:val="00B45011"/>
    <w:rsid w:val="00B518D4"/>
    <w:rsid w:val="00B52279"/>
    <w:rsid w:val="00B52F24"/>
    <w:rsid w:val="00B5418D"/>
    <w:rsid w:val="00B5595C"/>
    <w:rsid w:val="00B6235E"/>
    <w:rsid w:val="00B62A55"/>
    <w:rsid w:val="00B75012"/>
    <w:rsid w:val="00B76561"/>
    <w:rsid w:val="00B77317"/>
    <w:rsid w:val="00B94EAC"/>
    <w:rsid w:val="00B96569"/>
    <w:rsid w:val="00BA599F"/>
    <w:rsid w:val="00BA7DBE"/>
    <w:rsid w:val="00BA7E4F"/>
    <w:rsid w:val="00BA7E58"/>
    <w:rsid w:val="00BB63D7"/>
    <w:rsid w:val="00BB6A9B"/>
    <w:rsid w:val="00BC0795"/>
    <w:rsid w:val="00BC2F0F"/>
    <w:rsid w:val="00BD47CC"/>
    <w:rsid w:val="00BD7015"/>
    <w:rsid w:val="00BD7A6A"/>
    <w:rsid w:val="00BE049C"/>
    <w:rsid w:val="00BF2037"/>
    <w:rsid w:val="00BF4481"/>
    <w:rsid w:val="00BF5265"/>
    <w:rsid w:val="00BF653F"/>
    <w:rsid w:val="00BF79BD"/>
    <w:rsid w:val="00C05765"/>
    <w:rsid w:val="00C10053"/>
    <w:rsid w:val="00C132E2"/>
    <w:rsid w:val="00C15195"/>
    <w:rsid w:val="00C15211"/>
    <w:rsid w:val="00C16A82"/>
    <w:rsid w:val="00C2045F"/>
    <w:rsid w:val="00C20BD8"/>
    <w:rsid w:val="00C22CF7"/>
    <w:rsid w:val="00C23325"/>
    <w:rsid w:val="00C24770"/>
    <w:rsid w:val="00C27BD9"/>
    <w:rsid w:val="00C31688"/>
    <w:rsid w:val="00C33C9D"/>
    <w:rsid w:val="00C36A03"/>
    <w:rsid w:val="00C40AE9"/>
    <w:rsid w:val="00C51757"/>
    <w:rsid w:val="00C51B37"/>
    <w:rsid w:val="00C534D3"/>
    <w:rsid w:val="00C53718"/>
    <w:rsid w:val="00C547A9"/>
    <w:rsid w:val="00C60FB0"/>
    <w:rsid w:val="00C65FA8"/>
    <w:rsid w:val="00C66DC1"/>
    <w:rsid w:val="00C708A2"/>
    <w:rsid w:val="00C70D36"/>
    <w:rsid w:val="00C77307"/>
    <w:rsid w:val="00C8730B"/>
    <w:rsid w:val="00C87902"/>
    <w:rsid w:val="00C87CDB"/>
    <w:rsid w:val="00CA16E0"/>
    <w:rsid w:val="00CB06A5"/>
    <w:rsid w:val="00CB6708"/>
    <w:rsid w:val="00CC0C76"/>
    <w:rsid w:val="00CC6863"/>
    <w:rsid w:val="00CD153D"/>
    <w:rsid w:val="00CD26FD"/>
    <w:rsid w:val="00CD2804"/>
    <w:rsid w:val="00CD2870"/>
    <w:rsid w:val="00CD52F7"/>
    <w:rsid w:val="00CE5459"/>
    <w:rsid w:val="00CE5DA7"/>
    <w:rsid w:val="00CF744E"/>
    <w:rsid w:val="00CF774D"/>
    <w:rsid w:val="00D01238"/>
    <w:rsid w:val="00D01FB6"/>
    <w:rsid w:val="00D02E36"/>
    <w:rsid w:val="00D043E3"/>
    <w:rsid w:val="00D05D9E"/>
    <w:rsid w:val="00D07301"/>
    <w:rsid w:val="00D10167"/>
    <w:rsid w:val="00D103FF"/>
    <w:rsid w:val="00D126E2"/>
    <w:rsid w:val="00D12784"/>
    <w:rsid w:val="00D12FAF"/>
    <w:rsid w:val="00D20CB7"/>
    <w:rsid w:val="00D212A8"/>
    <w:rsid w:val="00D22726"/>
    <w:rsid w:val="00D24D20"/>
    <w:rsid w:val="00D25CEC"/>
    <w:rsid w:val="00D26DF2"/>
    <w:rsid w:val="00D318C0"/>
    <w:rsid w:val="00D32A48"/>
    <w:rsid w:val="00D334D6"/>
    <w:rsid w:val="00D42B7F"/>
    <w:rsid w:val="00D47B2D"/>
    <w:rsid w:val="00D524F1"/>
    <w:rsid w:val="00D60210"/>
    <w:rsid w:val="00D623B1"/>
    <w:rsid w:val="00D63B30"/>
    <w:rsid w:val="00D66C70"/>
    <w:rsid w:val="00D674A7"/>
    <w:rsid w:val="00D70BC0"/>
    <w:rsid w:val="00D7193F"/>
    <w:rsid w:val="00D71A5B"/>
    <w:rsid w:val="00D73B92"/>
    <w:rsid w:val="00D75A74"/>
    <w:rsid w:val="00D768E9"/>
    <w:rsid w:val="00D83860"/>
    <w:rsid w:val="00D918C1"/>
    <w:rsid w:val="00D930AD"/>
    <w:rsid w:val="00D94A91"/>
    <w:rsid w:val="00D96775"/>
    <w:rsid w:val="00DB0CB8"/>
    <w:rsid w:val="00DB3148"/>
    <w:rsid w:val="00DB5A81"/>
    <w:rsid w:val="00DC0A81"/>
    <w:rsid w:val="00DC5C72"/>
    <w:rsid w:val="00DD448C"/>
    <w:rsid w:val="00DD5DCB"/>
    <w:rsid w:val="00DE1BEB"/>
    <w:rsid w:val="00DE4285"/>
    <w:rsid w:val="00DE62EB"/>
    <w:rsid w:val="00DE69BF"/>
    <w:rsid w:val="00DF32C3"/>
    <w:rsid w:val="00DF3783"/>
    <w:rsid w:val="00DF6016"/>
    <w:rsid w:val="00E06FFA"/>
    <w:rsid w:val="00E10EDB"/>
    <w:rsid w:val="00E115FD"/>
    <w:rsid w:val="00E139E9"/>
    <w:rsid w:val="00E2192C"/>
    <w:rsid w:val="00E40C03"/>
    <w:rsid w:val="00E468D9"/>
    <w:rsid w:val="00E51BA7"/>
    <w:rsid w:val="00E5288E"/>
    <w:rsid w:val="00E5719E"/>
    <w:rsid w:val="00E60569"/>
    <w:rsid w:val="00E62C56"/>
    <w:rsid w:val="00E63D1A"/>
    <w:rsid w:val="00E64CDA"/>
    <w:rsid w:val="00E71EF0"/>
    <w:rsid w:val="00E8008C"/>
    <w:rsid w:val="00E8102D"/>
    <w:rsid w:val="00E8649E"/>
    <w:rsid w:val="00E86C19"/>
    <w:rsid w:val="00E90B23"/>
    <w:rsid w:val="00E94146"/>
    <w:rsid w:val="00E94DE3"/>
    <w:rsid w:val="00E94F24"/>
    <w:rsid w:val="00E954B7"/>
    <w:rsid w:val="00E95A43"/>
    <w:rsid w:val="00E95EE6"/>
    <w:rsid w:val="00E9672B"/>
    <w:rsid w:val="00E96A9B"/>
    <w:rsid w:val="00E97E19"/>
    <w:rsid w:val="00EA0066"/>
    <w:rsid w:val="00EA0E33"/>
    <w:rsid w:val="00EA2394"/>
    <w:rsid w:val="00EA368D"/>
    <w:rsid w:val="00EB4C68"/>
    <w:rsid w:val="00EC3483"/>
    <w:rsid w:val="00EC6C15"/>
    <w:rsid w:val="00ED3F4A"/>
    <w:rsid w:val="00ED464C"/>
    <w:rsid w:val="00EE1BC9"/>
    <w:rsid w:val="00EE6712"/>
    <w:rsid w:val="00EE6DB7"/>
    <w:rsid w:val="00EF577D"/>
    <w:rsid w:val="00EF5DFE"/>
    <w:rsid w:val="00F04DEA"/>
    <w:rsid w:val="00F073A6"/>
    <w:rsid w:val="00F10538"/>
    <w:rsid w:val="00F11015"/>
    <w:rsid w:val="00F114D1"/>
    <w:rsid w:val="00F22869"/>
    <w:rsid w:val="00F24D04"/>
    <w:rsid w:val="00F24D4A"/>
    <w:rsid w:val="00F25A36"/>
    <w:rsid w:val="00F31B41"/>
    <w:rsid w:val="00F34704"/>
    <w:rsid w:val="00F47D9F"/>
    <w:rsid w:val="00F52A49"/>
    <w:rsid w:val="00F54BC0"/>
    <w:rsid w:val="00F5703F"/>
    <w:rsid w:val="00F61813"/>
    <w:rsid w:val="00F63841"/>
    <w:rsid w:val="00F64E4D"/>
    <w:rsid w:val="00F71062"/>
    <w:rsid w:val="00F734B5"/>
    <w:rsid w:val="00F76545"/>
    <w:rsid w:val="00F76639"/>
    <w:rsid w:val="00F768EB"/>
    <w:rsid w:val="00F82512"/>
    <w:rsid w:val="00F84051"/>
    <w:rsid w:val="00F853EC"/>
    <w:rsid w:val="00F85A6B"/>
    <w:rsid w:val="00F86011"/>
    <w:rsid w:val="00F8781A"/>
    <w:rsid w:val="00FB0C78"/>
    <w:rsid w:val="00FB3507"/>
    <w:rsid w:val="00FB36F6"/>
    <w:rsid w:val="00FB77AC"/>
    <w:rsid w:val="00FC0A41"/>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3"/>
    <w:rPr>
      <w:rFonts w:ascii="Palatino Linotype" w:hAnsi="Palatino Linotype"/>
    </w:rPr>
  </w:style>
  <w:style w:type="paragraph" w:styleId="Heading1">
    <w:name w:val="heading 1"/>
    <w:basedOn w:val="Normal"/>
    <w:next w:val="Normal"/>
    <w:link w:val="Heading1Char"/>
    <w:uiPriority w:val="9"/>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link w:val="ListParagraphChar"/>
    <w:uiPriority w:val="34"/>
    <w:qFormat/>
    <w:rsid w:val="008446F5"/>
    <w:pPr>
      <w:numPr>
        <w:numId w:val="10"/>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5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qFormat/>
    <w:rsid w:val="008E2D28"/>
    <w:pPr>
      <w:spacing w:line="240" w:lineRule="auto"/>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99"/>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customStyle="1" w:styleId="UnresolvedMention1">
    <w:name w:val="Unresolved Mention1"/>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character" w:customStyle="1" w:styleId="ListParagraphChar">
    <w:name w:val="List Paragraph Char"/>
    <w:basedOn w:val="DefaultParagraphFont"/>
    <w:link w:val="ListParagraph"/>
    <w:uiPriority w:val="34"/>
    <w:rsid w:val="004D30E6"/>
    <w:rPr>
      <w:rFonts w:ascii="Palatino Linotype" w:hAnsi="Palatino Linotype"/>
    </w:rPr>
  </w:style>
  <w:style w:type="table" w:customStyle="1" w:styleId="WECCTable11">
    <w:name w:val="WECC Table11"/>
    <w:basedOn w:val="ListTable3-Accent1"/>
    <w:uiPriority w:val="99"/>
    <w:rsid w:val="00207C13"/>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FollowedHyperlink">
    <w:name w:val="FollowedHyperlink"/>
    <w:basedOn w:val="DefaultParagraphFont"/>
    <w:uiPriority w:val="99"/>
    <w:semiHidden/>
    <w:unhideWhenUsed/>
    <w:rsid w:val="001C5A59"/>
    <w:rPr>
      <w:color w:val="800080" w:themeColor="followedHyperlink"/>
      <w:u w:val="single"/>
    </w:rPr>
  </w:style>
  <w:style w:type="paragraph" w:customStyle="1" w:styleId="Requirement">
    <w:name w:val="Requirement"/>
    <w:basedOn w:val="List2"/>
    <w:rsid w:val="00E51BA7"/>
    <w:pPr>
      <w:numPr>
        <w:numId w:val="45"/>
      </w:numPr>
      <w:tabs>
        <w:tab w:val="clear" w:pos="936"/>
        <w:tab w:val="num" w:pos="1080"/>
      </w:tabs>
      <w:spacing w:line="240" w:lineRule="auto"/>
      <w:ind w:left="1080" w:hanging="360"/>
      <w:contextualSpacing w:val="0"/>
    </w:pPr>
    <w:rPr>
      <w:rFonts w:ascii="Times New Roman" w:eastAsia="Times New Roman" w:hAnsi="Times New Roman" w:cs="Times New Roman"/>
      <w:sz w:val="24"/>
      <w:szCs w:val="24"/>
    </w:rPr>
  </w:style>
  <w:style w:type="paragraph" w:styleId="List2">
    <w:name w:val="List 2"/>
    <w:basedOn w:val="Normal"/>
    <w:uiPriority w:val="99"/>
    <w:semiHidden/>
    <w:unhideWhenUsed/>
    <w:rsid w:val="00E51BA7"/>
    <w:pPr>
      <w:ind w:left="720" w:hanging="360"/>
      <w:contextualSpacing/>
    </w:pPr>
  </w:style>
  <w:style w:type="paragraph" w:customStyle="1" w:styleId="Default">
    <w:name w:val="Default"/>
    <w:rsid w:val="004833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021468605">
      <w:bodyDiv w:val="1"/>
      <w:marLeft w:val="0"/>
      <w:marRight w:val="0"/>
      <w:marTop w:val="0"/>
      <w:marBottom w:val="0"/>
      <w:divBdr>
        <w:top w:val="none" w:sz="0" w:space="0" w:color="auto"/>
        <w:left w:val="none" w:sz="0" w:space="0" w:color="auto"/>
        <w:bottom w:val="none" w:sz="0" w:space="0" w:color="auto"/>
        <w:right w:val="none" w:sz="0" w:space="0" w:color="auto"/>
      </w:divBdr>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693725907">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ack@wec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wecc.org/Standards/pages/wecc-0153.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650</Value>
      <Value>2426</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Info xmlns="http://schemas.microsoft.com/office/infopath/2007/PartnerControls">
          <TermName xmlns="http://schemas.microsoft.com/office/infopath/2007/PartnerControls">WECC-0153</TermName>
          <TermId xmlns="http://schemas.microsoft.com/office/infopath/2007/PartnerControls">c2d133ad-89d4-4604-b297-a7a74a2bf033</TermId>
        </TermInfo>
      </Terms>
    </TaxKeywordTaxHTField>
    <Approver xmlns="4bd63098-0c83-43cf-abdd-085f2cc55a51">
      <UserInfo>
        <DisplayName>Crane, Donovan</DisplayName>
        <AccountId>6264</AccountId>
        <AccountType/>
      </UserInfo>
    </Approver>
    <_dlc_DocId xmlns="4bd63098-0c83-43cf-abdd-085f2cc55a51">YWEQ7USXTMD7-3-13810</_dlc_DocId>
    <_dlc_DocIdUrl xmlns="4bd63098-0c83-43cf-abdd-085f2cc55a51">
      <Url>https://internal.wecc.org/_layouts/15/DocIdRedir.aspx?ID=YWEQ7USXTMD7-3-13810</Url>
      <Description>YWEQ7USXTMD7-3-13810</Description>
    </_dlc_DocIdUrl>
    <Jurisdiction xmlns="2fb8a92a-9032-49d6-b983-191f0a73b01f"/>
    <Standard_x0020_Family xmlns="2fb8a92a-9032-49d6-b983-191f0a73b01f" xsi:nil="true"/>
    <Other_x0020_Reliability_x0020_Documents xmlns="2fb8a92a-9032-49d6-b983-191f0a73b01f" xsi:nil="true"/>
    <Adopted_x002f_Approved_x0020_By xmlns="2fb8a92a-9032-49d6-b983-191f0a73b01f">WSC</Adopted_x002f_Approved_x0020_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F1B17A-C2F9-47A9-BF1A-833AE297B846}">
  <ds:schemaRefs>
    <ds:schemaRef ds:uri="http://schemas.microsoft.com/sharepoint/v3/contenttype/forms"/>
  </ds:schemaRefs>
</ds:datastoreItem>
</file>

<file path=customXml/itemProps2.xml><?xml version="1.0" encoding="utf-8"?>
<ds:datastoreItem xmlns:ds="http://schemas.openxmlformats.org/officeDocument/2006/customXml" ds:itemID="{6E908C26-545D-4C22-946C-1FC109895BB3}">
  <ds:schemaRefs>
    <ds:schemaRef ds:uri="http://schemas.openxmlformats.org/officeDocument/2006/bibliography"/>
  </ds:schemaRefs>
</ds:datastoreItem>
</file>

<file path=customXml/itemProps3.xml><?xml version="1.0" encoding="utf-8"?>
<ds:datastoreItem xmlns:ds="http://schemas.openxmlformats.org/officeDocument/2006/customXml" ds:itemID="{86114174-1404-4A34-A17F-66AB89175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af5166d4-db57-4568-8cb8-eee8eab5b2c1"/>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1F453AAD-75F2-4B89-BF79-0F7809BC39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BasicDocument</Template>
  <TotalTime>4</TotalTime>
  <Pages>5</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WECC-0150 PRC-001-WECC-CRT-3 Governor Droop - Posting 1 - Response to Comments - Clean From Tech</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2 - Response to Comments - Tech Final</dc:title>
  <dc:subject/>
  <dc:creator>Coleman, Chad</dc:creator>
  <cp:keywords>Submit and Review Comments; WECC-0153</cp:keywords>
  <dc:description/>
  <cp:lastModifiedBy>Black, Shannon</cp:lastModifiedBy>
  <cp:revision>2</cp:revision>
  <cp:lastPrinted>2022-04-28T17:25:00Z</cp:lastPrinted>
  <dcterms:created xsi:type="dcterms:W3CDTF">2024-03-15T02:32:00Z</dcterms:created>
  <dcterms:modified xsi:type="dcterms:W3CDTF">2024-03-15T02:32:00Z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45d1c9ce-fd2a-41aa-9091-f4475d0a0ae3</vt:lpwstr>
  </property>
  <property fmtid="{D5CDD505-2E9C-101B-9397-08002B2CF9AE}" pid="4" name="TaxKeyword">
    <vt:lpwstr>650;#Submit and Review Comments|b87a555a-b3e8-4e12-b0c3-be4bd0ab7d0f;#2426;#WECC-0153|c2d133ad-89d4-4604-b297-a7a74a2bf033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2023-05-17T19:22:34Z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04562045-b1d2-4d2e-828d-927af5ed5f4e</vt:lpwstr>
  </property>
  <property fmtid="{D5CDD505-2E9C-101B-9397-08002B2CF9AE}" pid="14" name="MSIP_Label_878e9819-3d07-47f7-9697-834686d925a0_ContentBits">
    <vt:lpwstr>1</vt:lpwstr>
  </property>
</Properties>
</file>