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9B9CB" w14:textId="0103E425" w:rsidR="00172D48" w:rsidRDefault="00172D48" w:rsidP="003F28DD">
      <w:pPr>
        <w:pStyle w:val="Heading2"/>
      </w:pPr>
      <w:r>
        <w:t>Preamble</w:t>
      </w:r>
    </w:p>
    <w:p w14:paraId="1C21E8B2" w14:textId="4925E130" w:rsidR="00172D48" w:rsidRPr="00172D48" w:rsidRDefault="00172D48" w:rsidP="003F28DD">
      <w:pPr>
        <w:pStyle w:val="Heading2"/>
        <w:rPr>
          <w:rFonts w:asciiTheme="minorHAnsi" w:hAnsiTheme="minorHAnsi"/>
          <w:b w:val="0"/>
          <w:bCs/>
          <w:sz w:val="22"/>
        </w:rPr>
      </w:pPr>
      <w:r>
        <w:rPr>
          <w:rFonts w:asciiTheme="minorHAnsi" w:hAnsiTheme="minorHAnsi"/>
          <w:b w:val="0"/>
          <w:bCs/>
          <w:sz w:val="22"/>
        </w:rPr>
        <w:t xml:space="preserve">On July 16 2022, the </w:t>
      </w:r>
      <w:r w:rsidRPr="00172D48">
        <w:rPr>
          <w:rFonts w:asciiTheme="minorHAnsi" w:hAnsiTheme="minorHAnsi"/>
          <w:b w:val="0"/>
          <w:bCs/>
          <w:sz w:val="22"/>
        </w:rPr>
        <w:t xml:space="preserve">following letter was posted on the WECC-0148 VAR-501-WECC-4, Power System Stabilizer home page at the Posting 1 accordion.  It was also provided to the WECC Standards Committee (WSC) for its consideration during the December 6, 2022, WSC meeting. </w:t>
      </w:r>
    </w:p>
    <w:p w14:paraId="01D44332" w14:textId="4120A334" w:rsidR="003F28DD" w:rsidRDefault="003F28DD" w:rsidP="003F28DD">
      <w:pPr>
        <w:pStyle w:val="Heading2"/>
      </w:pPr>
      <w:r>
        <w:t>Recommendation</w:t>
      </w:r>
    </w:p>
    <w:p w14:paraId="47227ED3" w14:textId="77777777" w:rsidR="003F28DD" w:rsidRDefault="003F28DD" w:rsidP="003F28DD">
      <w:r>
        <w:t>The WECC-0148 VAR-501-WECC-4 (VAR), Power System Stabilizer, Drafting Team (DT) is recommending that no changes be made to the Standard.  If the WECC Standards Committee (WSC) accepts that recommendation, an information-only filing at NERC is recommended.</w:t>
      </w:r>
    </w:p>
    <w:p w14:paraId="11683E32" w14:textId="77777777" w:rsidR="003F28DD" w:rsidRDefault="003F28DD" w:rsidP="003F28DD">
      <w:pPr>
        <w:pStyle w:val="Heading2"/>
      </w:pPr>
      <w:r>
        <w:t>Overview</w:t>
      </w:r>
    </w:p>
    <w:p w14:paraId="6726D0F7" w14:textId="77777777" w:rsidR="003F28DD" w:rsidRDefault="003F28DD" w:rsidP="003F28DD">
      <w:r>
        <w:t>On May 2, 2016, a WECC Ballot Pool approved VAR-501-WECC-3, Power System Stabilizer, after eight postings for comment.  On April 28, 2017, FERC approved the Standard via letter order followed by Version 3.1 errata on September 26, 2017.  Between 2016 and 2022, no known concerns were raised regarding the text the of the Standard.</w:t>
      </w:r>
    </w:p>
    <w:p w14:paraId="572B7489" w14:textId="42C2198A" w:rsidR="003F28DD" w:rsidRDefault="003F28DD" w:rsidP="003F28DD">
      <w:r>
        <w:t>On June 21, 2022, the DT began a five-year review of the Standard as required by the Procedures.  On July 1, 2022, after reviewing the entire document during multiple public meetings, the DT unanimously agreed that no Substantive Changes</w:t>
      </w:r>
      <w:r w:rsidR="00EF6619">
        <w:rPr>
          <w:rStyle w:val="FootnoteReference"/>
        </w:rPr>
        <w:footnoteReference w:id="1"/>
      </w:r>
      <w:r>
        <w:t xml:space="preserve"> should be made to the Standard.  A straw poll from non-DT members in attendance concurred with the DT’s conclusion. </w:t>
      </w:r>
    </w:p>
    <w:p w14:paraId="39229FAF" w14:textId="77777777" w:rsidR="003F28DD" w:rsidRDefault="003F28DD" w:rsidP="003F28DD">
      <w:pPr>
        <w:pStyle w:val="Heading2"/>
      </w:pPr>
      <w:r>
        <w:t>Non-Substantive Changes</w:t>
      </w:r>
    </w:p>
    <w:p w14:paraId="0054D658" w14:textId="77777777" w:rsidR="003F28DD" w:rsidRDefault="003F28DD" w:rsidP="003F28DD">
      <w:r>
        <w:t xml:space="preserve">The DT is recommending the following Non-Substantive Changes: </w:t>
      </w:r>
    </w:p>
    <w:p w14:paraId="51AF924F" w14:textId="0ED907DE" w:rsidR="003F28DD" w:rsidRDefault="003F28DD" w:rsidP="003F28DD">
      <w:pPr>
        <w:pStyle w:val="ListBullet"/>
      </w:pPr>
      <w:r>
        <w:t>Updates to the document template, numbering, and boilerplate sections as provided by NERC</w:t>
      </w:r>
    </w:p>
    <w:p w14:paraId="578CBE36" w14:textId="2F75419B" w:rsidR="003F28DD" w:rsidRDefault="003F28DD" w:rsidP="003F28DD">
      <w:pPr>
        <w:pStyle w:val="ListBullet"/>
      </w:pPr>
      <w:r>
        <w:t>Removal of stale-dated verbiage included in the Effective Date</w:t>
      </w:r>
    </w:p>
    <w:p w14:paraId="4D69F9DA" w14:textId="4A0438D2" w:rsidR="003F28DD" w:rsidRDefault="003F28DD" w:rsidP="003F28DD">
      <w:pPr>
        <w:pStyle w:val="ListBullet"/>
      </w:pPr>
      <w:r>
        <w:lastRenderedPageBreak/>
        <w:t>Removal of the redundant phrase, “[F]or auditing purposes….” From Measure M4</w:t>
      </w:r>
    </w:p>
    <w:p w14:paraId="75A31109" w14:textId="1F04AD47" w:rsidR="003F28DD" w:rsidRDefault="003F28DD" w:rsidP="003F28DD">
      <w:pPr>
        <w:pStyle w:val="ListBullet"/>
      </w:pPr>
      <w:r>
        <w:t>Updates to syntax</w:t>
      </w:r>
    </w:p>
    <w:p w14:paraId="0BD1753E" w14:textId="1178403B" w:rsidR="003F28DD" w:rsidRDefault="003F28DD" w:rsidP="003F28DD">
      <w:pPr>
        <w:pStyle w:val="ListBullet"/>
      </w:pPr>
      <w:r>
        <w:t>Correction of “[s]tandard” to “[S]tandard”</w:t>
      </w:r>
    </w:p>
    <w:p w14:paraId="6BA533E5" w14:textId="033C4EB1" w:rsidR="003F28DD" w:rsidRDefault="003F28DD" w:rsidP="003F28DD">
      <w:pPr>
        <w:pStyle w:val="ListBullet"/>
      </w:pPr>
      <w:r>
        <w:t>Correction of “dampen” to “damp” in the Rationale and Guidance section</w:t>
      </w:r>
    </w:p>
    <w:p w14:paraId="05E897E5" w14:textId="3F293029" w:rsidR="003F28DD" w:rsidRPr="00EF6619" w:rsidRDefault="003F28DD" w:rsidP="00EF6619">
      <w:pPr>
        <w:pStyle w:val="Heading2"/>
      </w:pPr>
      <w:r w:rsidRPr="00EF6619">
        <w:t>Standard of Review</w:t>
      </w:r>
    </w:p>
    <w:p w14:paraId="7B708355" w14:textId="01D60E76" w:rsidR="003F28DD" w:rsidRDefault="003F28DD" w:rsidP="003F28DD">
      <w:r>
        <w:t>Per the WECC Standards Committee (WSC) Charter, the WSC administers the Procedures.  Per the Procedures, each of the above proposed changes is a Non-Substantive Change</w:t>
      </w:r>
      <w:r w:rsidR="00EF6619">
        <w:rPr>
          <w:rStyle w:val="FootnoteReference"/>
        </w:rPr>
        <w:footnoteReference w:id="2"/>
      </w:r>
      <w:r>
        <w:t>, and does not require a posting for comment.</w:t>
      </w:r>
      <w:r w:rsidR="00EF6619">
        <w:rPr>
          <w:rStyle w:val="FootnoteReference"/>
        </w:rPr>
        <w:footnoteReference w:id="3"/>
      </w:r>
      <w:r>
        <w:t xml:space="preserve"> Although the Procedures require a ballot to make Non-Substantive Changes </w:t>
      </w:r>
      <w:r w:rsidRPr="00EF6619">
        <w:rPr>
          <w:i/>
          <w:iCs/>
        </w:rPr>
        <w:t>after a posting for comment</w:t>
      </w:r>
      <w:r w:rsidR="00EF6619" w:rsidRPr="00EF6619">
        <w:rPr>
          <w:rStyle w:val="FootnoteReference"/>
        </w:rPr>
        <w:footnoteReference w:id="4"/>
      </w:r>
      <w:r w:rsidRPr="00EF6619">
        <w:t>,</w:t>
      </w:r>
      <w:r>
        <w:t xml:space="preserve"> the Procedures are silent where a DT recommends only Non-Substantive Changes, </w:t>
      </w:r>
      <w:r w:rsidR="000279BB">
        <w:t>which</w:t>
      </w:r>
      <w:r>
        <w:t xml:space="preserve"> require neither a posting nor a ballot. </w:t>
      </w:r>
    </w:p>
    <w:p w14:paraId="7B917D4F" w14:textId="0BF64B32" w:rsidR="003F28DD" w:rsidRDefault="003F28DD" w:rsidP="003F28DD">
      <w:r>
        <w:t>For guidance, the Procedures provide that if the WSC identifies a Non-Substantive Change after comments are received, and/or after a ballot has opened, the “correction shall be filed for approval with NERC”, as appropriate.</w:t>
      </w:r>
      <w:r w:rsidR="00EF6619">
        <w:rPr>
          <w:rStyle w:val="FootnoteReference"/>
        </w:rPr>
        <w:footnoteReference w:id="5"/>
      </w:r>
      <w:r>
        <w:t xml:space="preserve"> Further, implementing “updated document styles, templates, or standardized language…is explicitly within the purview of staff and does not require further approval.”</w:t>
      </w:r>
      <w:r w:rsidR="00EF6619">
        <w:rPr>
          <w:rStyle w:val="FootnoteReference"/>
        </w:rPr>
        <w:footnoteReference w:id="6"/>
      </w:r>
      <w:r>
        <w:t xml:space="preserve"> Finally, as a matter of precedence, the WSC has previously accepted a “no change” recommendation regarding a WECC Criterion that had neither been posted nor balloted.</w:t>
      </w:r>
      <w:r w:rsidR="00EF6619">
        <w:rPr>
          <w:rStyle w:val="FootnoteReference"/>
        </w:rPr>
        <w:footnoteReference w:id="7"/>
      </w:r>
      <w:r>
        <w:t xml:space="preserve"> </w:t>
      </w:r>
    </w:p>
    <w:p w14:paraId="1781491F" w14:textId="2EBF8A45" w:rsidR="003F28DD" w:rsidRDefault="003F28DD" w:rsidP="003F28DD">
      <w:r>
        <w:t>In light of the above, the DT requests the WSC exercise its discretion by approving the proposed Non-Substantive Changes: 1) without a posting, 2) without a ballot, 3) followed by an information-only filing at NERC.</w:t>
      </w:r>
    </w:p>
    <w:p w14:paraId="05284473" w14:textId="05526BA2" w:rsidR="00172D48" w:rsidRPr="00172D48" w:rsidRDefault="00172D48" w:rsidP="00172D48">
      <w:pPr>
        <w:pStyle w:val="Heading2"/>
        <w:rPr>
          <w:i/>
          <w:iCs/>
        </w:rPr>
      </w:pPr>
      <w:r w:rsidRPr="00172D48">
        <w:rPr>
          <w:i/>
          <w:iCs/>
        </w:rPr>
        <w:lastRenderedPageBreak/>
        <w:t xml:space="preserve">Subsequent Entry </w:t>
      </w:r>
    </w:p>
    <w:p w14:paraId="45F7DC79" w14:textId="6C9235AA" w:rsidR="00172D48" w:rsidRPr="00172D48" w:rsidRDefault="00172D48" w:rsidP="00172D48">
      <w:r>
        <w:t xml:space="preserve">On December 6, 2022, the WSC approved the requested Non-Substantive Changes and instructed staff to provide NERC with an information-only filing. </w:t>
      </w:r>
    </w:p>
    <w:sectPr w:rsidR="00172D48" w:rsidRPr="00172D48" w:rsidSect="00255412">
      <w:headerReference w:type="even" r:id="rId12"/>
      <w:headerReference w:type="default" r:id="rId13"/>
      <w:footerReference w:type="default" r:id="rId14"/>
      <w:headerReference w:type="first" r:id="rId15"/>
      <w:footerReference w:type="first" r:id="rId16"/>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3B2B2" w14:textId="77777777" w:rsidR="007E1048" w:rsidRDefault="007E1048" w:rsidP="00E60569">
      <w:r>
        <w:separator/>
      </w:r>
    </w:p>
    <w:p w14:paraId="076B482F" w14:textId="77777777" w:rsidR="007E1048" w:rsidRDefault="007E1048" w:rsidP="00E60569"/>
  </w:endnote>
  <w:endnote w:type="continuationSeparator" w:id="0">
    <w:p w14:paraId="1FF9747B" w14:textId="77777777" w:rsidR="007E1048" w:rsidRDefault="007E1048" w:rsidP="00E60569">
      <w:r>
        <w:continuationSeparator/>
      </w:r>
    </w:p>
    <w:p w14:paraId="3FF66016" w14:textId="77777777" w:rsidR="007E1048" w:rsidRDefault="007E1048" w:rsidP="00E60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63625332"/>
      <w:docPartObj>
        <w:docPartGallery w:val="Page Numbers (Bottom of Page)"/>
        <w:docPartUnique/>
      </w:docPartObj>
    </w:sdtPr>
    <w:sdtEndPr>
      <w:rPr>
        <w:b w:val="0"/>
      </w:rPr>
    </w:sdtEndPr>
    <w:sdtContent>
      <w:p w14:paraId="69B93F4C" w14:textId="77777777" w:rsidR="00E115FD" w:rsidRPr="00E5288E" w:rsidRDefault="00FE6A90" w:rsidP="007B7780">
        <w:pPr>
          <w:pStyle w:val="Footer"/>
          <w:tabs>
            <w:tab w:val="clear" w:pos="4680"/>
            <w:tab w:val="center" w:pos="5040"/>
          </w:tabs>
          <w:rPr>
            <w:sz w:val="22"/>
          </w:rPr>
        </w:pPr>
        <w:r w:rsidRPr="00E5288E">
          <w:rPr>
            <w:sz w:val="22"/>
          </w:rPr>
          <w:drawing>
            <wp:inline distT="0" distB="0" distL="0" distR="0" wp14:anchorId="608A141D" wp14:editId="2C328B6E">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00F82512" w:rsidRPr="009B19EE">
          <w:rPr>
            <w:b w:val="0"/>
            <w:noProof w:val="0"/>
            <w:sz w:val="22"/>
          </w:rPr>
          <w:fldChar w:fldCharType="begin"/>
        </w:r>
        <w:r w:rsidR="00F82512" w:rsidRPr="009B19EE">
          <w:rPr>
            <w:b w:val="0"/>
            <w:sz w:val="22"/>
          </w:rPr>
          <w:instrText xml:space="preserve"> PAGE   \* MERGEFORMAT </w:instrText>
        </w:r>
        <w:r w:rsidR="00F82512" w:rsidRPr="009B19EE">
          <w:rPr>
            <w:b w:val="0"/>
            <w:noProof w:val="0"/>
            <w:sz w:val="22"/>
          </w:rPr>
          <w:fldChar w:fldCharType="separate"/>
        </w:r>
        <w:r w:rsidR="00640848">
          <w:rPr>
            <w:b w:val="0"/>
            <w:sz w:val="22"/>
          </w:rPr>
          <w:t>2</w:t>
        </w:r>
        <w:r w:rsidR="00F82512" w:rsidRPr="009B19EE">
          <w:rPr>
            <w:b w:val="0"/>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EBAD" w14:textId="77777777" w:rsidR="00323BC9" w:rsidRPr="002A59FD" w:rsidRDefault="002A59FD" w:rsidP="006D1E92">
    <w:pPr>
      <w:pStyle w:val="Footer"/>
      <w:pBdr>
        <w:top w:val="single" w:sz="48" w:space="1" w:color="00395D" w:themeColor="text2"/>
        <w:bottom w:val="single" w:sz="48" w:space="1" w:color="00395D" w:themeColor="text2"/>
      </w:pBdr>
      <w:shd w:val="clear" w:color="auto" w:fill="00395D" w:themeFill="text2"/>
      <w:tabs>
        <w:tab w:val="clear" w:pos="4680"/>
        <w:tab w:val="center" w:pos="5040"/>
      </w:tabs>
      <w:spacing w:before="120" w:after="120" w:line="276" w:lineRule="auto"/>
      <w:jc w:val="center"/>
      <w:rPr>
        <w:b w:val="0"/>
        <w:color w:val="FFFFFF" w:themeColor="background1"/>
        <w:spacing w:val="20"/>
        <w:sz w:val="22"/>
      </w:rPr>
    </w:pPr>
    <w:r w:rsidRPr="002A59FD">
      <w:rPr>
        <w:b w:val="0"/>
        <w:color w:val="FFFFFF" w:themeColor="background1"/>
        <w:spacing w:val="20"/>
        <w:sz w:val="22"/>
      </w:rPr>
      <w:t>155 North 400 West | Suite 200 | Salt Lake City, Utah 84103</w:t>
    </w:r>
    <w:r w:rsidRPr="002A59FD">
      <w:rPr>
        <w:b w:val="0"/>
        <w:color w:val="FFFFFF" w:themeColor="background1"/>
        <w:spacing w:val="20"/>
        <w:sz w:val="22"/>
      </w:rPr>
      <w:br/>
      <w:t>www.wecc.org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469D6" w14:textId="77777777" w:rsidR="007E1048" w:rsidRDefault="007E1048" w:rsidP="00EA064E">
      <w:pPr>
        <w:spacing w:after="0"/>
      </w:pPr>
      <w:r>
        <w:separator/>
      </w:r>
    </w:p>
  </w:footnote>
  <w:footnote w:type="continuationSeparator" w:id="0">
    <w:p w14:paraId="712A8B02" w14:textId="77777777" w:rsidR="007E1048" w:rsidRDefault="007E1048" w:rsidP="00E60569">
      <w:r>
        <w:continuationSeparator/>
      </w:r>
    </w:p>
    <w:p w14:paraId="0823BCCC" w14:textId="77777777" w:rsidR="007E1048" w:rsidRDefault="007E1048" w:rsidP="00E60569"/>
  </w:footnote>
  <w:footnote w:id="1">
    <w:p w14:paraId="2B5A95EE" w14:textId="16A02CFE" w:rsidR="00EF6619" w:rsidRDefault="00EF6619">
      <w:pPr>
        <w:pStyle w:val="FootnoteText"/>
      </w:pPr>
      <w:r>
        <w:rPr>
          <w:rStyle w:val="FootnoteReference"/>
        </w:rPr>
        <w:footnoteRef/>
      </w:r>
      <w:r>
        <w:t xml:space="preserve"> </w:t>
      </w:r>
      <w:r w:rsidRPr="00EF6619">
        <w:t>Definitions, Procedures.</w:t>
      </w:r>
    </w:p>
  </w:footnote>
  <w:footnote w:id="2">
    <w:p w14:paraId="57AF73F9" w14:textId="38F0E986" w:rsidR="00EF6619" w:rsidRDefault="00EF6619">
      <w:pPr>
        <w:pStyle w:val="FootnoteText"/>
      </w:pPr>
      <w:r>
        <w:rPr>
          <w:rStyle w:val="FootnoteReference"/>
        </w:rPr>
        <w:footnoteRef/>
      </w:r>
      <w:r>
        <w:t xml:space="preserve"> </w:t>
      </w:r>
      <w:r w:rsidRPr="00EF6619">
        <w:t xml:space="preserve">  Non-Substantive Changes, Definitions, Procedures, are those changes: “that do not change the scope, applicability, or intent of any requirement, including correcting the numbering of a requirement, correcting references, changes to document styles and templates, correcting the spelling of a word, adding an obviously missing word, or rephrasing a requirement for improved clarity.”</w:t>
      </w:r>
    </w:p>
  </w:footnote>
  <w:footnote w:id="3">
    <w:p w14:paraId="79279125" w14:textId="3ABAAA3F" w:rsidR="00EF6619" w:rsidRDefault="00EF6619">
      <w:pPr>
        <w:pStyle w:val="FootnoteText"/>
      </w:pPr>
      <w:r>
        <w:rPr>
          <w:rStyle w:val="FootnoteReference"/>
        </w:rPr>
        <w:footnoteRef/>
      </w:r>
      <w:r>
        <w:t xml:space="preserve"> </w:t>
      </w:r>
      <w:r w:rsidRPr="00EF6619">
        <w:t>“Non-Substantive Changes do not require a posting/comment/response cycle.” Treatment of Non-Substantive Changes, Procedures, page 12.</w:t>
      </w:r>
    </w:p>
  </w:footnote>
  <w:footnote w:id="4">
    <w:p w14:paraId="14459B13" w14:textId="625E49F2" w:rsidR="00EF6619" w:rsidRDefault="00EF6619">
      <w:pPr>
        <w:pStyle w:val="FootnoteText"/>
      </w:pPr>
      <w:r>
        <w:rPr>
          <w:rStyle w:val="FootnoteReference"/>
        </w:rPr>
        <w:footnoteRef/>
      </w:r>
      <w:r>
        <w:t xml:space="preserve"> </w:t>
      </w:r>
      <w:r w:rsidRPr="00EF6619">
        <w:t>Treatment of Substantive Changes, Procedures, pages 11-12</w:t>
      </w:r>
      <w:r>
        <w:t>.</w:t>
      </w:r>
    </w:p>
  </w:footnote>
  <w:footnote w:id="5">
    <w:p w14:paraId="10DA2E5E" w14:textId="72433D72" w:rsidR="00EF6619" w:rsidRDefault="00EF6619">
      <w:pPr>
        <w:pStyle w:val="FootnoteText"/>
      </w:pPr>
      <w:r>
        <w:rPr>
          <w:rStyle w:val="FootnoteReference"/>
        </w:rPr>
        <w:footnoteRef/>
      </w:r>
      <w:r>
        <w:t xml:space="preserve"> </w:t>
      </w:r>
      <w:r w:rsidRPr="00026778">
        <w:t>“[T]he WSC agrees that the correction of the error does not change the scope or intent of the associated [Standard], and agrees that the correction has no material impact on the applicable entities, then the correction shall be filed for approval with NERC and applicable governmental authorities as appropriate.” Treatment of Non-Substantive Changes, Regional Reliability Standards, Procedures, page 12.</w:t>
      </w:r>
    </w:p>
  </w:footnote>
  <w:footnote w:id="6">
    <w:p w14:paraId="339D5611" w14:textId="1F3694C7" w:rsidR="00EF6619" w:rsidRDefault="00EF6619">
      <w:pPr>
        <w:pStyle w:val="FootnoteText"/>
      </w:pPr>
      <w:r>
        <w:rPr>
          <w:rStyle w:val="FootnoteReference"/>
        </w:rPr>
        <w:footnoteRef/>
      </w:r>
      <w:r>
        <w:t xml:space="preserve"> </w:t>
      </w:r>
      <w:r w:rsidRPr="00EF6619">
        <w:t>Procedures, page 12.</w:t>
      </w:r>
    </w:p>
  </w:footnote>
  <w:footnote w:id="7">
    <w:p w14:paraId="02AF79C9" w14:textId="6490BA2C" w:rsidR="00EF6619" w:rsidRDefault="00EF6619">
      <w:pPr>
        <w:pStyle w:val="FootnoteText"/>
      </w:pPr>
      <w:r>
        <w:rPr>
          <w:rStyle w:val="FootnoteReference"/>
        </w:rPr>
        <w:footnoteRef/>
      </w:r>
      <w:r>
        <w:t xml:space="preserve"> In December 2016, the WSC approved WECC-0112, COM-001-WECC-CRT-2.1, Digital Circuits Synchronization, a WECC Criterion.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CDF4A" w14:textId="121FC113" w:rsidR="00E12482" w:rsidRDefault="00FF783B">
    <w:pPr>
      <w:pStyle w:val="Header"/>
    </w:pPr>
    <w:r>
      <w:rPr>
        <w:noProof/>
      </w:rPr>
      <mc:AlternateContent>
        <mc:Choice Requires="wps">
          <w:drawing>
            <wp:anchor distT="0" distB="0" distL="0" distR="0" simplePos="0" relativeHeight="251660288" behindDoc="0" locked="0" layoutInCell="1" allowOverlap="1" wp14:anchorId="673EB13E" wp14:editId="312B1C28">
              <wp:simplePos x="635" y="635"/>
              <wp:positionH relativeFrom="page">
                <wp:align>center</wp:align>
              </wp:positionH>
              <wp:positionV relativeFrom="page">
                <wp:align>top</wp:align>
              </wp:positionV>
              <wp:extent cx="443865" cy="443865"/>
              <wp:effectExtent l="0" t="0" r="0" b="12065"/>
              <wp:wrapNone/>
              <wp:docPr id="3"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FA37EF" w14:textId="4D40B360" w:rsidR="00FF783B" w:rsidRPr="00FF783B" w:rsidRDefault="00FF783B" w:rsidP="00FF783B">
                          <w:pPr>
                            <w:spacing w:after="0"/>
                            <w:rPr>
                              <w:rFonts w:ascii="Calibri" w:eastAsia="Calibri" w:hAnsi="Calibri" w:cs="Calibri"/>
                              <w:noProof/>
                              <w:color w:val="000000"/>
                              <w:sz w:val="20"/>
                              <w:szCs w:val="20"/>
                            </w:rPr>
                          </w:pPr>
                          <w:r w:rsidRPr="00FF783B">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3EB13E" id="_x0000_t202" coordsize="21600,21600" o:spt="202" path="m,l,21600r21600,l21600,xe">
              <v:stroke joinstyle="miter"/>
              <v:path gradientshapeok="t" o:connecttype="rect"/>
            </v:shapetype>
            <v:shape id="Text Box 3" o:spid="_x0000_s1026" type="#_x0000_t202" alt="&lt;Public&gt;"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4FFA37EF" w14:textId="4D40B360" w:rsidR="00FF783B" w:rsidRPr="00FF783B" w:rsidRDefault="00FF783B" w:rsidP="00FF783B">
                    <w:pPr>
                      <w:spacing w:after="0"/>
                      <w:rPr>
                        <w:rFonts w:ascii="Calibri" w:eastAsia="Calibri" w:hAnsi="Calibri" w:cs="Calibri"/>
                        <w:noProof/>
                        <w:color w:val="000000"/>
                        <w:sz w:val="20"/>
                        <w:szCs w:val="20"/>
                      </w:rPr>
                    </w:pPr>
                    <w:r w:rsidRPr="00FF783B">
                      <w:rPr>
                        <w:rFonts w:ascii="Calibri" w:eastAsia="Calibri" w:hAnsi="Calibri" w:cs="Calibri"/>
                        <w:noProof/>
                        <w:color w:val="000000"/>
                        <w:sz w:val="20"/>
                        <w:szCs w:val="20"/>
                      </w:rPr>
                      <w:t>&lt;Public&gt;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AD62" w14:textId="0B2A547F" w:rsidR="00172D48" w:rsidRDefault="00FF783B" w:rsidP="00EF6619">
    <w:pPr>
      <w:pStyle w:val="Header"/>
      <w:contextualSpacing w:val="0"/>
    </w:pPr>
    <w:r>
      <w:rPr>
        <w:noProof/>
      </w:rPr>
      <mc:AlternateContent>
        <mc:Choice Requires="wps">
          <w:drawing>
            <wp:anchor distT="0" distB="0" distL="0" distR="0" simplePos="0" relativeHeight="251661312" behindDoc="0" locked="0" layoutInCell="1" allowOverlap="1" wp14:anchorId="71F836FE" wp14:editId="3C5B5353">
              <wp:simplePos x="684578" y="459645"/>
              <wp:positionH relativeFrom="page">
                <wp:align>center</wp:align>
              </wp:positionH>
              <wp:positionV relativeFrom="page">
                <wp:align>top</wp:align>
              </wp:positionV>
              <wp:extent cx="443865" cy="443865"/>
              <wp:effectExtent l="0" t="0" r="0" b="12065"/>
              <wp:wrapNone/>
              <wp:docPr id="5" name="Text Box 5"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DAFA38" w14:textId="7BBE1354" w:rsidR="00FF783B" w:rsidRPr="00FF783B" w:rsidRDefault="00FF783B" w:rsidP="00FF783B">
                          <w:pPr>
                            <w:spacing w:after="0"/>
                            <w:rPr>
                              <w:rFonts w:ascii="Calibri" w:eastAsia="Calibri" w:hAnsi="Calibri" w:cs="Calibri"/>
                              <w:noProof/>
                              <w:color w:val="000000"/>
                              <w:sz w:val="20"/>
                              <w:szCs w:val="20"/>
                            </w:rPr>
                          </w:pPr>
                          <w:r w:rsidRPr="00FF783B">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F836FE" id="_x0000_t202" coordsize="21600,21600" o:spt="202" path="m,l,21600r21600,l21600,xe">
              <v:stroke joinstyle="miter"/>
              <v:path gradientshapeok="t" o:connecttype="rect"/>
            </v:shapetype>
            <v:shape id="Text Box 5" o:spid="_x0000_s1027" type="#_x0000_t202" alt="&lt;Public&gt;"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0DAFA38" w14:textId="7BBE1354" w:rsidR="00FF783B" w:rsidRPr="00FF783B" w:rsidRDefault="00FF783B" w:rsidP="00FF783B">
                    <w:pPr>
                      <w:spacing w:after="0"/>
                      <w:rPr>
                        <w:rFonts w:ascii="Calibri" w:eastAsia="Calibri" w:hAnsi="Calibri" w:cs="Calibri"/>
                        <w:noProof/>
                        <w:color w:val="000000"/>
                        <w:sz w:val="20"/>
                        <w:szCs w:val="20"/>
                      </w:rPr>
                    </w:pPr>
                    <w:r w:rsidRPr="00FF783B">
                      <w:rPr>
                        <w:rFonts w:ascii="Calibri" w:eastAsia="Calibri" w:hAnsi="Calibri" w:cs="Calibri"/>
                        <w:noProof/>
                        <w:color w:val="000000"/>
                        <w:sz w:val="20"/>
                        <w:szCs w:val="20"/>
                      </w:rPr>
                      <w:t>&lt;Public&gt;</w:t>
                    </w:r>
                  </w:p>
                </w:txbxContent>
              </v:textbox>
              <w10:wrap anchorx="page" anchory="page"/>
            </v:shape>
          </w:pict>
        </mc:Fallback>
      </mc:AlternateContent>
    </w:r>
    <w:r w:rsidR="00172D48">
      <w:t>Attachment T</w:t>
    </w:r>
  </w:p>
  <w:p w14:paraId="50F63EF4" w14:textId="53B8E890" w:rsidR="00EF6619" w:rsidRDefault="00EF6619" w:rsidP="00EF6619">
    <w:pPr>
      <w:pStyle w:val="Header"/>
      <w:contextualSpacing w:val="0"/>
    </w:pPr>
    <w:r>
      <w:t>Letter to WSC Requesting Information-Only Filing</w:t>
    </w:r>
  </w:p>
  <w:p w14:paraId="1427613B" w14:textId="06E31701" w:rsidR="00E115FD" w:rsidRPr="00EF6619" w:rsidRDefault="00E115FD" w:rsidP="00EF66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97B9" w14:textId="50FD31F2" w:rsidR="00E60569" w:rsidRDefault="00FF783B" w:rsidP="00A323FE">
    <w:pPr>
      <w:pStyle w:val="Header"/>
      <w:contextualSpacing w:val="0"/>
      <w:jc w:val="left"/>
    </w:pPr>
    <w:r>
      <w:rPr>
        <w:noProof/>
      </w:rPr>
      <mc:AlternateContent>
        <mc:Choice Requires="wps">
          <w:drawing>
            <wp:anchor distT="0" distB="0" distL="0" distR="0" simplePos="0" relativeHeight="251659264" behindDoc="0" locked="0" layoutInCell="1" allowOverlap="1" wp14:anchorId="1C71EF07" wp14:editId="43D96FB7">
              <wp:simplePos x="686435" y="457835"/>
              <wp:positionH relativeFrom="page">
                <wp:align>center</wp:align>
              </wp:positionH>
              <wp:positionV relativeFrom="page">
                <wp:align>top</wp:align>
              </wp:positionV>
              <wp:extent cx="443865" cy="443865"/>
              <wp:effectExtent l="0" t="0" r="0" b="12065"/>
              <wp:wrapNone/>
              <wp:docPr id="2"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DE74EE" w14:textId="7938914B" w:rsidR="00FF783B" w:rsidRPr="00FF783B" w:rsidRDefault="00FF783B" w:rsidP="00FF783B">
                          <w:pPr>
                            <w:spacing w:after="0"/>
                            <w:rPr>
                              <w:rFonts w:ascii="Calibri" w:eastAsia="Calibri" w:hAnsi="Calibri" w:cs="Calibri"/>
                              <w:noProof/>
                              <w:color w:val="000000"/>
                              <w:sz w:val="20"/>
                              <w:szCs w:val="20"/>
                            </w:rPr>
                          </w:pPr>
                          <w:r w:rsidRPr="00FF783B">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71EF07" id="_x0000_t202" coordsize="21600,21600" o:spt="202" path="m,l,21600r21600,l21600,xe">
              <v:stroke joinstyle="miter"/>
              <v:path gradientshapeok="t" o:connecttype="rect"/>
            </v:shapetype>
            <v:shape id="Text Box 2" o:spid="_x0000_s1028" type="#_x0000_t202" alt="&lt;Public&gt;"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28DE74EE" w14:textId="7938914B" w:rsidR="00FF783B" w:rsidRPr="00FF783B" w:rsidRDefault="00FF783B" w:rsidP="00FF783B">
                    <w:pPr>
                      <w:spacing w:after="0"/>
                      <w:rPr>
                        <w:rFonts w:ascii="Calibri" w:eastAsia="Calibri" w:hAnsi="Calibri" w:cs="Calibri"/>
                        <w:noProof/>
                        <w:color w:val="000000"/>
                        <w:sz w:val="20"/>
                        <w:szCs w:val="20"/>
                      </w:rPr>
                    </w:pPr>
                    <w:r w:rsidRPr="00FF783B">
                      <w:rPr>
                        <w:rFonts w:ascii="Calibri" w:eastAsia="Calibri" w:hAnsi="Calibri" w:cs="Calibri"/>
                        <w:noProof/>
                        <w:color w:val="000000"/>
                        <w:sz w:val="20"/>
                        <w:szCs w:val="20"/>
                      </w:rPr>
                      <w:t>&lt;Public&gt;</w:t>
                    </w:r>
                  </w:p>
                </w:txbxContent>
              </v:textbox>
              <w10:wrap anchorx="page" anchory="page"/>
            </v:shape>
          </w:pict>
        </mc:Fallback>
      </mc:AlternateContent>
    </w:r>
    <w:r w:rsidR="00A323FE">
      <w:rPr>
        <w:noProof/>
      </w:rPr>
      <w:drawing>
        <wp:anchor distT="0" distB="0" distL="114300" distR="114300" simplePos="0" relativeHeight="251658240" behindDoc="1" locked="0" layoutInCell="1" allowOverlap="1" wp14:anchorId="2A1BCE35" wp14:editId="07C29987">
          <wp:simplePos x="0" y="0"/>
          <wp:positionH relativeFrom="column">
            <wp:posOffset>4864</wp:posOffset>
          </wp:positionH>
          <wp:positionV relativeFrom="paragraph">
            <wp:posOffset>77821</wp:posOffset>
          </wp:positionV>
          <wp:extent cx="2929134" cy="938786"/>
          <wp:effectExtent l="0" t="0" r="5080" b="0"/>
          <wp:wrapTight wrapText="bothSides">
            <wp:wrapPolygon edited="0">
              <wp:start x="3653" y="0"/>
              <wp:lineTo x="0" y="2192"/>
              <wp:lineTo x="0" y="3507"/>
              <wp:lineTo x="422" y="7015"/>
              <wp:lineTo x="1686" y="14030"/>
              <wp:lineTo x="0" y="17976"/>
              <wp:lineTo x="0" y="21045"/>
              <wp:lineTo x="8009" y="21045"/>
              <wp:lineTo x="15174" y="21045"/>
              <wp:lineTo x="21497" y="21045"/>
              <wp:lineTo x="21497" y="17976"/>
              <wp:lineTo x="6744" y="14030"/>
              <wp:lineTo x="18406" y="14030"/>
              <wp:lineTo x="21497" y="12714"/>
              <wp:lineTo x="21497" y="5261"/>
              <wp:lineTo x="4356" y="0"/>
              <wp:lineTo x="365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C_Tagline.png"/>
                  <pic:cNvPicPr/>
                </pic:nvPicPr>
                <pic:blipFill>
                  <a:blip r:embed="rId1">
                    <a:extLst>
                      <a:ext uri="{28A0092B-C50C-407E-A947-70E740481C1C}">
                        <a14:useLocalDpi xmlns:a14="http://schemas.microsoft.com/office/drawing/2010/main" val="0"/>
                      </a:ext>
                    </a:extLst>
                  </a:blip>
                  <a:stretch>
                    <a:fillRect/>
                  </a:stretch>
                </pic:blipFill>
                <pic:spPr>
                  <a:xfrm>
                    <a:off x="0" y="0"/>
                    <a:ext cx="2929134" cy="938786"/>
                  </a:xfrm>
                  <a:prstGeom prst="rect">
                    <a:avLst/>
                  </a:prstGeom>
                </pic:spPr>
              </pic:pic>
            </a:graphicData>
          </a:graphic>
          <wp14:sizeRelH relativeFrom="page">
            <wp14:pctWidth>0</wp14:pctWidth>
          </wp14:sizeRelH>
          <wp14:sizeRelV relativeFrom="page">
            <wp14:pctHeight>0</wp14:pctHeight>
          </wp14:sizeRelV>
        </wp:anchor>
      </w:drawing>
    </w:r>
  </w:p>
  <w:p w14:paraId="32ECC410" w14:textId="77777777" w:rsidR="00172D48" w:rsidRDefault="00172D48" w:rsidP="00172D48">
    <w:pPr>
      <w:pStyle w:val="Header"/>
      <w:rPr>
        <w:bCs/>
      </w:rPr>
    </w:pPr>
    <w:bookmarkStart w:id="0" w:name="_Hlk120872469"/>
    <w:bookmarkStart w:id="1" w:name="_Hlk535242431"/>
    <w:bookmarkStart w:id="2" w:name="_Hlk535242432"/>
    <w:bookmarkStart w:id="3" w:name="_Hlk535242433"/>
    <w:bookmarkStart w:id="4" w:name="_Hlk535242435"/>
    <w:bookmarkStart w:id="5" w:name="_Hlk535242436"/>
    <w:bookmarkStart w:id="6" w:name="_Hlk535242437"/>
    <w:bookmarkStart w:id="7" w:name="_Hlk535242438"/>
    <w:bookmarkStart w:id="8" w:name="_Hlk535242439"/>
    <w:bookmarkStart w:id="9" w:name="_Hlk535242440"/>
    <w:r>
      <w:rPr>
        <w:bCs/>
      </w:rPr>
      <w:t>Attachment T</w:t>
    </w:r>
  </w:p>
  <w:p w14:paraId="7D410565" w14:textId="3EB6EF52" w:rsidR="00172D48" w:rsidRDefault="00172D48" w:rsidP="00172D48">
    <w:pPr>
      <w:pStyle w:val="Header"/>
      <w:rPr>
        <w:bCs/>
      </w:rPr>
    </w:pPr>
    <w:r>
      <w:rPr>
        <w:bCs/>
      </w:rPr>
      <w:t>Additional Supporting Documentation</w:t>
    </w:r>
  </w:p>
  <w:p w14:paraId="4BCC8D51" w14:textId="77777777" w:rsidR="00172D48" w:rsidRDefault="00172D48" w:rsidP="00172D48">
    <w:pPr>
      <w:pStyle w:val="Header"/>
      <w:rPr>
        <w:bCs/>
      </w:rPr>
    </w:pPr>
    <w:r w:rsidRPr="00F97047">
      <w:rPr>
        <w:bCs/>
      </w:rPr>
      <w:t>WECC-0148 VAR-501-WECC-4</w:t>
    </w:r>
  </w:p>
  <w:p w14:paraId="16EB07FF" w14:textId="2481F143" w:rsidR="00172D48" w:rsidRDefault="00172D48" w:rsidP="00172D48">
    <w:pPr>
      <w:pStyle w:val="Header"/>
      <w:rPr>
        <w:bCs/>
      </w:rPr>
    </w:pPr>
    <w:r w:rsidRPr="00F97047">
      <w:rPr>
        <w:bCs/>
      </w:rPr>
      <w:t>Power System Stabilizer</w:t>
    </w:r>
  </w:p>
  <w:p w14:paraId="519E8020" w14:textId="77777777" w:rsidR="00172D48" w:rsidRPr="00F97047" w:rsidRDefault="00172D48" w:rsidP="00172D48">
    <w:pPr>
      <w:pStyle w:val="Header"/>
      <w:rPr>
        <w:bCs/>
      </w:rPr>
    </w:pPr>
    <w:r>
      <w:rPr>
        <w:bCs/>
      </w:rPr>
      <w:t xml:space="preserve">Non-Substantive Change </w:t>
    </w:r>
    <w:bookmarkEnd w:id="0"/>
    <w:r w:rsidRPr="00F97047">
      <w:rPr>
        <w:bCs/>
      </w:rPr>
      <w:t>/ Information Only Filing</w:t>
    </w:r>
  </w:p>
  <w:p w14:paraId="38B1C54E" w14:textId="77777777" w:rsidR="00172D48" w:rsidRDefault="00172D48" w:rsidP="00E60569">
    <w:pPr>
      <w:pStyle w:val="Header"/>
      <w:contextualSpacing w:val="0"/>
    </w:pPr>
  </w:p>
  <w:p w14:paraId="497ADFDF" w14:textId="3B223D94" w:rsidR="00F82512" w:rsidRPr="00761FA8" w:rsidRDefault="003F28DD" w:rsidP="00E60569">
    <w:pPr>
      <w:pStyle w:val="Header"/>
      <w:contextualSpacing w:val="0"/>
    </w:pPr>
    <w:r>
      <w:t>Letter to WSC Requesting</w:t>
    </w:r>
    <w:r>
      <w:br/>
      <w:t>Information</w:t>
    </w:r>
    <w:r w:rsidR="00EF6619">
      <w:t>-</w:t>
    </w:r>
    <w:r>
      <w:t>Only Filing</w:t>
    </w:r>
    <w:bookmarkEnd w:id="1"/>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70BCA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5E2F5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D694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33811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DB6B5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8F495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1A2B8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38F97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FF018C0"/>
    <w:lvl w:ilvl="0">
      <w:start w:val="1"/>
      <w:numFmt w:val="decimal"/>
      <w:pStyle w:val="ListNumber"/>
      <w:lvlText w:val="%1."/>
      <w:lvlJc w:val="left"/>
      <w:pPr>
        <w:ind w:left="360" w:hanging="360"/>
      </w:pPr>
    </w:lvl>
  </w:abstractNum>
  <w:abstractNum w:abstractNumId="9" w15:restartNumberingAfterBreak="0">
    <w:nsid w:val="0EFA40DE"/>
    <w:multiLevelType w:val="hybridMultilevel"/>
    <w:tmpl w:val="80F2331C"/>
    <w:lvl w:ilvl="0" w:tplc="D7F0C31A">
      <w:start w:val="1"/>
      <w:numFmt w:val="decimal"/>
      <w:lvlText w:val="%1."/>
      <w:lvlJc w:val="left"/>
      <w:pPr>
        <w:ind w:left="720" w:hanging="360"/>
      </w:pPr>
    </w:lvl>
    <w:lvl w:ilvl="1" w:tplc="62EC591C" w:tentative="1">
      <w:start w:val="1"/>
      <w:numFmt w:val="lowerLetter"/>
      <w:lvlText w:val="%2."/>
      <w:lvlJc w:val="left"/>
      <w:pPr>
        <w:ind w:left="1440" w:hanging="360"/>
      </w:pPr>
    </w:lvl>
    <w:lvl w:ilvl="2" w:tplc="04102B54" w:tentative="1">
      <w:start w:val="1"/>
      <w:numFmt w:val="lowerRoman"/>
      <w:lvlText w:val="%3."/>
      <w:lvlJc w:val="right"/>
      <w:pPr>
        <w:ind w:left="2160" w:hanging="180"/>
      </w:pPr>
    </w:lvl>
    <w:lvl w:ilvl="3" w:tplc="922C0658" w:tentative="1">
      <w:start w:val="1"/>
      <w:numFmt w:val="decimal"/>
      <w:lvlText w:val="%4."/>
      <w:lvlJc w:val="left"/>
      <w:pPr>
        <w:ind w:left="2880" w:hanging="360"/>
      </w:pPr>
    </w:lvl>
    <w:lvl w:ilvl="4" w:tplc="B0DA2576" w:tentative="1">
      <w:start w:val="1"/>
      <w:numFmt w:val="lowerLetter"/>
      <w:lvlText w:val="%5."/>
      <w:lvlJc w:val="left"/>
      <w:pPr>
        <w:ind w:left="3600" w:hanging="360"/>
      </w:pPr>
    </w:lvl>
    <w:lvl w:ilvl="5" w:tplc="7E74B608" w:tentative="1">
      <w:start w:val="1"/>
      <w:numFmt w:val="lowerRoman"/>
      <w:lvlText w:val="%6."/>
      <w:lvlJc w:val="right"/>
      <w:pPr>
        <w:ind w:left="4320" w:hanging="180"/>
      </w:pPr>
    </w:lvl>
    <w:lvl w:ilvl="6" w:tplc="E9367A72" w:tentative="1">
      <w:start w:val="1"/>
      <w:numFmt w:val="decimal"/>
      <w:lvlText w:val="%7."/>
      <w:lvlJc w:val="left"/>
      <w:pPr>
        <w:ind w:left="5040" w:hanging="360"/>
      </w:pPr>
    </w:lvl>
    <w:lvl w:ilvl="7" w:tplc="01209AA4" w:tentative="1">
      <w:start w:val="1"/>
      <w:numFmt w:val="lowerLetter"/>
      <w:lvlText w:val="%8."/>
      <w:lvlJc w:val="left"/>
      <w:pPr>
        <w:ind w:left="5760" w:hanging="360"/>
      </w:pPr>
    </w:lvl>
    <w:lvl w:ilvl="8" w:tplc="FAF2A4BC" w:tentative="1">
      <w:start w:val="1"/>
      <w:numFmt w:val="lowerRoman"/>
      <w:lvlText w:val="%9."/>
      <w:lvlJc w:val="right"/>
      <w:pPr>
        <w:ind w:left="6480" w:hanging="180"/>
      </w:pPr>
    </w:lvl>
  </w:abstractNum>
  <w:abstractNum w:abstractNumId="10"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2F6E66"/>
    <w:multiLevelType w:val="multilevel"/>
    <w:tmpl w:val="7CF686C2"/>
    <w:lvl w:ilvl="0">
      <w:start w:val="1"/>
      <w:numFmt w:val="decimal"/>
      <w:pStyle w:val="ListParagraph"/>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5AB514BC"/>
    <w:multiLevelType w:val="hybridMultilevel"/>
    <w:tmpl w:val="6904256A"/>
    <w:lvl w:ilvl="0" w:tplc="1CB49276">
      <w:start w:val="1"/>
      <w:numFmt w:val="decimal"/>
      <w:lvlText w:val="%1."/>
      <w:lvlJc w:val="left"/>
      <w:pPr>
        <w:ind w:left="720" w:hanging="360"/>
      </w:pPr>
    </w:lvl>
    <w:lvl w:ilvl="1" w:tplc="25581D00" w:tentative="1">
      <w:start w:val="1"/>
      <w:numFmt w:val="lowerLetter"/>
      <w:lvlText w:val="%2."/>
      <w:lvlJc w:val="left"/>
      <w:pPr>
        <w:ind w:left="1440" w:hanging="360"/>
      </w:pPr>
    </w:lvl>
    <w:lvl w:ilvl="2" w:tplc="01427FF0" w:tentative="1">
      <w:start w:val="1"/>
      <w:numFmt w:val="lowerRoman"/>
      <w:lvlText w:val="%3."/>
      <w:lvlJc w:val="right"/>
      <w:pPr>
        <w:ind w:left="2160" w:hanging="180"/>
      </w:pPr>
    </w:lvl>
    <w:lvl w:ilvl="3" w:tplc="AB348C76" w:tentative="1">
      <w:start w:val="1"/>
      <w:numFmt w:val="decimal"/>
      <w:lvlText w:val="%4."/>
      <w:lvlJc w:val="left"/>
      <w:pPr>
        <w:ind w:left="2880" w:hanging="360"/>
      </w:pPr>
    </w:lvl>
    <w:lvl w:ilvl="4" w:tplc="124A1578" w:tentative="1">
      <w:start w:val="1"/>
      <w:numFmt w:val="lowerLetter"/>
      <w:lvlText w:val="%5."/>
      <w:lvlJc w:val="left"/>
      <w:pPr>
        <w:ind w:left="3600" w:hanging="360"/>
      </w:pPr>
    </w:lvl>
    <w:lvl w:ilvl="5" w:tplc="082A8800" w:tentative="1">
      <w:start w:val="1"/>
      <w:numFmt w:val="lowerRoman"/>
      <w:lvlText w:val="%6."/>
      <w:lvlJc w:val="right"/>
      <w:pPr>
        <w:ind w:left="4320" w:hanging="180"/>
      </w:pPr>
    </w:lvl>
    <w:lvl w:ilvl="6" w:tplc="04A44D38" w:tentative="1">
      <w:start w:val="1"/>
      <w:numFmt w:val="decimal"/>
      <w:lvlText w:val="%7."/>
      <w:lvlJc w:val="left"/>
      <w:pPr>
        <w:ind w:left="5040" w:hanging="360"/>
      </w:pPr>
    </w:lvl>
    <w:lvl w:ilvl="7" w:tplc="B5F27AD8" w:tentative="1">
      <w:start w:val="1"/>
      <w:numFmt w:val="lowerLetter"/>
      <w:lvlText w:val="%8."/>
      <w:lvlJc w:val="left"/>
      <w:pPr>
        <w:ind w:left="5760" w:hanging="360"/>
      </w:pPr>
    </w:lvl>
    <w:lvl w:ilvl="8" w:tplc="2B585650" w:tentative="1">
      <w:start w:val="1"/>
      <w:numFmt w:val="lowerRoman"/>
      <w:lvlText w:val="%9."/>
      <w:lvlJc w:val="right"/>
      <w:pPr>
        <w:ind w:left="6480" w:hanging="180"/>
      </w:pPr>
    </w:lvl>
  </w:abstractNum>
  <w:abstractNum w:abstractNumId="13" w15:restartNumberingAfterBreak="0">
    <w:nsid w:val="608F27B5"/>
    <w:multiLevelType w:val="multilevel"/>
    <w:tmpl w:val="CEFAE8AA"/>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4" w15:restartNumberingAfterBreak="0">
    <w:nsid w:val="6DDB2E98"/>
    <w:multiLevelType w:val="multilevel"/>
    <w:tmpl w:val="D01074D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717D20B4"/>
    <w:multiLevelType w:val="hybridMultilevel"/>
    <w:tmpl w:val="902A0714"/>
    <w:lvl w:ilvl="0" w:tplc="F99EA39C">
      <w:start w:val="1"/>
      <w:numFmt w:val="bullet"/>
      <w:lvlText w:val=""/>
      <w:lvlJc w:val="left"/>
      <w:pPr>
        <w:ind w:left="720" w:hanging="360"/>
      </w:pPr>
      <w:rPr>
        <w:rFonts w:ascii="Symbol" w:hAnsi="Symbol" w:hint="default"/>
      </w:rPr>
    </w:lvl>
    <w:lvl w:ilvl="1" w:tplc="07E2E8F8" w:tentative="1">
      <w:start w:val="1"/>
      <w:numFmt w:val="bullet"/>
      <w:lvlText w:val="o"/>
      <w:lvlJc w:val="left"/>
      <w:pPr>
        <w:ind w:left="1440" w:hanging="360"/>
      </w:pPr>
      <w:rPr>
        <w:rFonts w:ascii="Courier New" w:hAnsi="Courier New" w:cs="Courier New" w:hint="default"/>
      </w:rPr>
    </w:lvl>
    <w:lvl w:ilvl="2" w:tplc="1B4A3312" w:tentative="1">
      <w:start w:val="1"/>
      <w:numFmt w:val="bullet"/>
      <w:lvlText w:val=""/>
      <w:lvlJc w:val="left"/>
      <w:pPr>
        <w:ind w:left="2160" w:hanging="360"/>
      </w:pPr>
      <w:rPr>
        <w:rFonts w:ascii="Wingdings" w:hAnsi="Wingdings" w:hint="default"/>
      </w:rPr>
    </w:lvl>
    <w:lvl w:ilvl="3" w:tplc="BAE0C15C" w:tentative="1">
      <w:start w:val="1"/>
      <w:numFmt w:val="bullet"/>
      <w:lvlText w:val=""/>
      <w:lvlJc w:val="left"/>
      <w:pPr>
        <w:ind w:left="2880" w:hanging="360"/>
      </w:pPr>
      <w:rPr>
        <w:rFonts w:ascii="Symbol" w:hAnsi="Symbol" w:hint="default"/>
      </w:rPr>
    </w:lvl>
    <w:lvl w:ilvl="4" w:tplc="817ABDC6" w:tentative="1">
      <w:start w:val="1"/>
      <w:numFmt w:val="bullet"/>
      <w:lvlText w:val="o"/>
      <w:lvlJc w:val="left"/>
      <w:pPr>
        <w:ind w:left="3600" w:hanging="360"/>
      </w:pPr>
      <w:rPr>
        <w:rFonts w:ascii="Courier New" w:hAnsi="Courier New" w:cs="Courier New" w:hint="default"/>
      </w:rPr>
    </w:lvl>
    <w:lvl w:ilvl="5" w:tplc="E8268CF6" w:tentative="1">
      <w:start w:val="1"/>
      <w:numFmt w:val="bullet"/>
      <w:lvlText w:val=""/>
      <w:lvlJc w:val="left"/>
      <w:pPr>
        <w:ind w:left="4320" w:hanging="360"/>
      </w:pPr>
      <w:rPr>
        <w:rFonts w:ascii="Wingdings" w:hAnsi="Wingdings" w:hint="default"/>
      </w:rPr>
    </w:lvl>
    <w:lvl w:ilvl="6" w:tplc="4FD89D18" w:tentative="1">
      <w:start w:val="1"/>
      <w:numFmt w:val="bullet"/>
      <w:lvlText w:val=""/>
      <w:lvlJc w:val="left"/>
      <w:pPr>
        <w:ind w:left="5040" w:hanging="360"/>
      </w:pPr>
      <w:rPr>
        <w:rFonts w:ascii="Symbol" w:hAnsi="Symbol" w:hint="default"/>
      </w:rPr>
    </w:lvl>
    <w:lvl w:ilvl="7" w:tplc="3C5E655E" w:tentative="1">
      <w:start w:val="1"/>
      <w:numFmt w:val="bullet"/>
      <w:lvlText w:val="o"/>
      <w:lvlJc w:val="left"/>
      <w:pPr>
        <w:ind w:left="5760" w:hanging="360"/>
      </w:pPr>
      <w:rPr>
        <w:rFonts w:ascii="Courier New" w:hAnsi="Courier New" w:cs="Courier New" w:hint="default"/>
      </w:rPr>
    </w:lvl>
    <w:lvl w:ilvl="8" w:tplc="28DA7932" w:tentative="1">
      <w:start w:val="1"/>
      <w:numFmt w:val="bullet"/>
      <w:lvlText w:val=""/>
      <w:lvlJc w:val="left"/>
      <w:pPr>
        <w:ind w:left="6480" w:hanging="360"/>
      </w:pPr>
      <w:rPr>
        <w:rFonts w:ascii="Wingdings" w:hAnsi="Wingdings" w:hint="default"/>
      </w:rPr>
    </w:lvl>
  </w:abstractNum>
  <w:abstractNum w:abstractNumId="16"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811AEC"/>
    <w:multiLevelType w:val="hybridMultilevel"/>
    <w:tmpl w:val="096498A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16cid:durableId="1336953554">
    <w:abstractNumId w:val="16"/>
  </w:num>
  <w:num w:numId="2" w16cid:durableId="1461459346">
    <w:abstractNumId w:val="12"/>
  </w:num>
  <w:num w:numId="3" w16cid:durableId="2015106575">
    <w:abstractNumId w:val="9"/>
  </w:num>
  <w:num w:numId="4" w16cid:durableId="361516670">
    <w:abstractNumId w:val="10"/>
  </w:num>
  <w:num w:numId="5" w16cid:durableId="415321626">
    <w:abstractNumId w:val="17"/>
  </w:num>
  <w:num w:numId="6" w16cid:durableId="1042439507">
    <w:abstractNumId w:val="11"/>
  </w:num>
  <w:num w:numId="7" w16cid:durableId="660738978">
    <w:abstractNumId w:val="15"/>
  </w:num>
  <w:num w:numId="8" w16cid:durableId="248777325">
    <w:abstractNumId w:val="13"/>
  </w:num>
  <w:num w:numId="9" w16cid:durableId="1701467408">
    <w:abstractNumId w:val="14"/>
  </w:num>
  <w:num w:numId="10" w16cid:durableId="1728988460">
    <w:abstractNumId w:val="8"/>
  </w:num>
  <w:num w:numId="11" w16cid:durableId="1568690537">
    <w:abstractNumId w:val="7"/>
  </w:num>
  <w:num w:numId="12" w16cid:durableId="278682897">
    <w:abstractNumId w:val="6"/>
  </w:num>
  <w:num w:numId="13" w16cid:durableId="1912621336">
    <w:abstractNumId w:val="5"/>
  </w:num>
  <w:num w:numId="14" w16cid:durableId="1615139980">
    <w:abstractNumId w:val="4"/>
  </w:num>
  <w:num w:numId="15" w16cid:durableId="1682659987">
    <w:abstractNumId w:val="3"/>
  </w:num>
  <w:num w:numId="16" w16cid:durableId="986277578">
    <w:abstractNumId w:val="2"/>
  </w:num>
  <w:num w:numId="17" w16cid:durableId="1655912465">
    <w:abstractNumId w:val="1"/>
  </w:num>
  <w:num w:numId="18" w16cid:durableId="565606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1sDCyNDIyMTM0szRX0lEKTi0uzszPAykwqwUAeaNWCSwAAAA="/>
  </w:docVars>
  <w:rsids>
    <w:rsidRoot w:val="00545C65"/>
    <w:rsid w:val="00021499"/>
    <w:rsid w:val="000279BB"/>
    <w:rsid w:val="000667BB"/>
    <w:rsid w:val="000A1755"/>
    <w:rsid w:val="000F614E"/>
    <w:rsid w:val="001636D2"/>
    <w:rsid w:val="00172D48"/>
    <w:rsid w:val="001A1779"/>
    <w:rsid w:val="001B7CE9"/>
    <w:rsid w:val="002122A7"/>
    <w:rsid w:val="002267AC"/>
    <w:rsid w:val="0022692D"/>
    <w:rsid w:val="00245949"/>
    <w:rsid w:val="00255412"/>
    <w:rsid w:val="002A59FD"/>
    <w:rsid w:val="002B4DA5"/>
    <w:rsid w:val="002E1330"/>
    <w:rsid w:val="00323BC9"/>
    <w:rsid w:val="003817E6"/>
    <w:rsid w:val="003A7EC5"/>
    <w:rsid w:val="003D6FA2"/>
    <w:rsid w:val="003E1973"/>
    <w:rsid w:val="003F28DD"/>
    <w:rsid w:val="0043738A"/>
    <w:rsid w:val="004657D5"/>
    <w:rsid w:val="00473E2D"/>
    <w:rsid w:val="004D1F97"/>
    <w:rsid w:val="00545C65"/>
    <w:rsid w:val="00550DB3"/>
    <w:rsid w:val="00603CB7"/>
    <w:rsid w:val="00640848"/>
    <w:rsid w:val="006D1E92"/>
    <w:rsid w:val="007130D6"/>
    <w:rsid w:val="007229F6"/>
    <w:rsid w:val="00761FA8"/>
    <w:rsid w:val="007A46E1"/>
    <w:rsid w:val="007B7780"/>
    <w:rsid w:val="007C51B6"/>
    <w:rsid w:val="007E1048"/>
    <w:rsid w:val="008E0400"/>
    <w:rsid w:val="008E7488"/>
    <w:rsid w:val="008F3E53"/>
    <w:rsid w:val="00937FDD"/>
    <w:rsid w:val="009A4D48"/>
    <w:rsid w:val="009B19EE"/>
    <w:rsid w:val="009E040B"/>
    <w:rsid w:val="009E1D07"/>
    <w:rsid w:val="009F443B"/>
    <w:rsid w:val="00A323FE"/>
    <w:rsid w:val="00A4275B"/>
    <w:rsid w:val="00B55A80"/>
    <w:rsid w:val="00B9772D"/>
    <w:rsid w:val="00BA7DBE"/>
    <w:rsid w:val="00BF118D"/>
    <w:rsid w:val="00BF79BD"/>
    <w:rsid w:val="00C05765"/>
    <w:rsid w:val="00C11B97"/>
    <w:rsid w:val="00CB6BCC"/>
    <w:rsid w:val="00CF774D"/>
    <w:rsid w:val="00D21EAF"/>
    <w:rsid w:val="00E067DC"/>
    <w:rsid w:val="00E115FD"/>
    <w:rsid w:val="00E12482"/>
    <w:rsid w:val="00E5288E"/>
    <w:rsid w:val="00E5719E"/>
    <w:rsid w:val="00E60569"/>
    <w:rsid w:val="00EA064E"/>
    <w:rsid w:val="00EA2394"/>
    <w:rsid w:val="00EC4B79"/>
    <w:rsid w:val="00EF6619"/>
    <w:rsid w:val="00F21CE3"/>
    <w:rsid w:val="00F82512"/>
    <w:rsid w:val="00F853EC"/>
    <w:rsid w:val="00F8781A"/>
    <w:rsid w:val="00FE6A90"/>
    <w:rsid w:val="00FF7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3F9C3"/>
  <w15:chartTrackingRefBased/>
  <w15:docId w15:val="{97B441CA-FAEB-449E-A2C4-46780F8F2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BCC"/>
    <w:rPr>
      <w:rFonts w:ascii="Palatino Linotype" w:hAnsi="Palatino Linotype"/>
    </w:rPr>
  </w:style>
  <w:style w:type="paragraph" w:styleId="Heading1">
    <w:name w:val="heading 1"/>
    <w:basedOn w:val="Normal"/>
    <w:next w:val="Normal"/>
    <w:link w:val="Heading1Char"/>
    <w:uiPriority w:val="2"/>
    <w:qFormat/>
    <w:rsid w:val="008E0400"/>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8"/>
      <w:szCs w:val="26"/>
    </w:rPr>
  </w:style>
  <w:style w:type="paragraph" w:styleId="Heading2">
    <w:name w:val="heading 2"/>
    <w:basedOn w:val="Normal"/>
    <w:next w:val="Normal"/>
    <w:link w:val="Heading2Char"/>
    <w:uiPriority w:val="3"/>
    <w:unhideWhenUsed/>
    <w:qFormat/>
    <w:rsid w:val="00EF6619"/>
    <w:pPr>
      <w:keepNext/>
      <w:suppressAutoHyphens/>
      <w:spacing w:before="240"/>
      <w:outlineLvl w:val="1"/>
    </w:pPr>
    <w:rPr>
      <w:rFonts w:ascii="Lucida Sans" w:hAnsi="Lucida Sans"/>
      <w:b/>
      <w:sz w:val="27"/>
    </w:rPr>
  </w:style>
  <w:style w:type="paragraph" w:styleId="Heading3">
    <w:name w:val="heading 3"/>
    <w:basedOn w:val="Normal"/>
    <w:next w:val="Normal"/>
    <w:link w:val="Heading3Char"/>
    <w:uiPriority w:val="4"/>
    <w:unhideWhenUsed/>
    <w:qFormat/>
    <w:rsid w:val="004657D5"/>
    <w:pPr>
      <w:suppressAutoHyphens/>
      <w:spacing w:before="240"/>
      <w:outlineLvl w:val="2"/>
    </w:pPr>
    <w:rPr>
      <w:rFonts w:ascii="Lucida Sans" w:hAnsi="Lucida Sans"/>
      <w:b/>
      <w:i/>
      <w:sz w:val="24"/>
    </w:rPr>
  </w:style>
  <w:style w:type="paragraph" w:styleId="Heading4">
    <w:name w:val="heading 4"/>
    <w:basedOn w:val="Normal"/>
    <w:next w:val="Normal"/>
    <w:link w:val="Heading4Char"/>
    <w:uiPriority w:val="5"/>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569"/>
    <w:pPr>
      <w:tabs>
        <w:tab w:val="center" w:pos="5040"/>
        <w:tab w:val="right" w:pos="10080"/>
      </w:tabs>
      <w:spacing w:before="120"/>
      <w:contextualSpacing/>
      <w:jc w:val="right"/>
    </w:pPr>
    <w:rPr>
      <w:rFonts w:ascii="Lucida Sans" w:hAnsi="Lucida Sans"/>
      <w:b/>
      <w:color w:val="00395D"/>
      <w:sz w:val="24"/>
      <w:szCs w:val="24"/>
    </w:rPr>
  </w:style>
  <w:style w:type="character" w:customStyle="1" w:styleId="HeaderChar">
    <w:name w:val="Header Char"/>
    <w:basedOn w:val="DefaultParagraphFont"/>
    <w:link w:val="Header"/>
    <w:uiPriority w:val="99"/>
    <w:rsid w:val="00E60569"/>
    <w:rPr>
      <w:rFonts w:ascii="Lucida Sans" w:hAnsi="Lucida Sans"/>
      <w:b/>
      <w:color w:val="00395D"/>
      <w:sz w:val="24"/>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2"/>
    <w:rsid w:val="008E0400"/>
    <w:rPr>
      <w:rFonts w:ascii="Lucida Sans" w:eastAsiaTheme="majorEastAsia" w:hAnsi="Lucida Sans" w:cstheme="majorBidi"/>
      <w:b/>
      <w:bCs/>
      <w:color w:val="000000" w:themeColor="text1"/>
      <w:sz w:val="28"/>
      <w:szCs w:val="26"/>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uiPriority w:val="7"/>
    <w:qFormat/>
    <w:rsid w:val="002E1330"/>
    <w:pPr>
      <w:numPr>
        <w:numId w:val="6"/>
      </w:numPr>
      <w:suppressAutoHyphens/>
      <w:spacing w:before="120"/>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semiHidden/>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semiHidden/>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3"/>
    <w:rsid w:val="00EF6619"/>
    <w:rPr>
      <w:rFonts w:ascii="Lucida Sans" w:hAnsi="Lucida Sans"/>
      <w:b/>
      <w:sz w:val="27"/>
    </w:rPr>
  </w:style>
  <w:style w:type="character" w:customStyle="1" w:styleId="Heading3Char">
    <w:name w:val="Heading 3 Char"/>
    <w:basedOn w:val="DefaultParagraphFont"/>
    <w:link w:val="Heading3"/>
    <w:uiPriority w:val="4"/>
    <w:rsid w:val="004657D5"/>
    <w:rPr>
      <w:rFonts w:ascii="Lucida Sans" w:hAnsi="Lucida Sans"/>
      <w:b/>
      <w:i/>
      <w:sz w:val="24"/>
    </w:rPr>
  </w:style>
  <w:style w:type="character" w:customStyle="1" w:styleId="Heading4Char">
    <w:name w:val="Heading 4 Char"/>
    <w:basedOn w:val="DefaultParagraphFont"/>
    <w:link w:val="Heading4"/>
    <w:uiPriority w:val="5"/>
    <w:rsid w:val="007A46E1"/>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table" w:styleId="TableGrid">
    <w:name w:val="Table Grid"/>
    <w:basedOn w:val="TableNormal"/>
    <w:uiPriority w:val="39"/>
    <w:rsid w:val="009E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E1D07"/>
    <w:pPr>
      <w:spacing w:after="0" w:line="240" w:lineRule="auto"/>
    </w:pPr>
    <w:tblPr>
      <w:tblStyleRowBandSize w:val="1"/>
      <w:tblStyleColBandSize w:val="1"/>
      <w:tblBorders>
        <w:top w:val="single" w:sz="4" w:space="0" w:color="005172" w:themeColor="accent1"/>
        <w:left w:val="single" w:sz="4" w:space="0" w:color="005172" w:themeColor="accent1"/>
        <w:bottom w:val="single" w:sz="4" w:space="0" w:color="005172" w:themeColor="accent1"/>
        <w:right w:val="single" w:sz="4" w:space="0" w:color="005172" w:themeColor="accent1"/>
      </w:tblBorders>
    </w:tblPr>
    <w:tblStylePr w:type="firstRow">
      <w:rPr>
        <w:b/>
        <w:bCs/>
        <w:color w:val="FFFFFF" w:themeColor="background1"/>
      </w:rPr>
      <w:tblPr/>
      <w:tcPr>
        <w:shd w:val="clear" w:color="auto" w:fill="005172" w:themeFill="accent1"/>
      </w:tcPr>
    </w:tblStylePr>
    <w:tblStylePr w:type="lastRow">
      <w:rPr>
        <w:b/>
        <w:bCs/>
      </w:rPr>
      <w:tblPr/>
      <w:tcPr>
        <w:tcBorders>
          <w:top w:val="double" w:sz="4" w:space="0" w:color="00517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172" w:themeColor="accent1"/>
          <w:right w:val="single" w:sz="4" w:space="0" w:color="005172" w:themeColor="accent1"/>
        </w:tcBorders>
      </w:tcPr>
    </w:tblStylePr>
    <w:tblStylePr w:type="band1Horz">
      <w:tblPr/>
      <w:tcPr>
        <w:tcBorders>
          <w:top w:val="single" w:sz="4" w:space="0" w:color="005172" w:themeColor="accent1"/>
          <w:bottom w:val="single" w:sz="4" w:space="0" w:color="00517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172" w:themeColor="accent1"/>
          <w:left w:val="nil"/>
        </w:tcBorders>
      </w:tcPr>
    </w:tblStylePr>
    <w:tblStylePr w:type="swCell">
      <w:tblPr/>
      <w:tcPr>
        <w:tcBorders>
          <w:top w:val="double" w:sz="4" w:space="0" w:color="005172" w:themeColor="accent1"/>
          <w:right w:val="nil"/>
        </w:tcBorders>
      </w:tcPr>
    </w:tblStylePr>
  </w:style>
  <w:style w:type="table" w:styleId="ListTable3">
    <w:name w:val="List Table 3"/>
    <w:basedOn w:val="TableNormal"/>
    <w:uiPriority w:val="48"/>
    <w:rsid w:val="006D1E9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Bullet">
    <w:name w:val="List Bullet"/>
    <w:basedOn w:val="Normal"/>
    <w:uiPriority w:val="6"/>
    <w:qFormat/>
    <w:rsid w:val="002E1330"/>
    <w:pPr>
      <w:numPr>
        <w:numId w:val="8"/>
      </w:numPr>
      <w:contextualSpacing/>
    </w:pPr>
  </w:style>
  <w:style w:type="paragraph" w:styleId="ListNumber">
    <w:name w:val="List Number"/>
    <w:basedOn w:val="Normal"/>
    <w:uiPriority w:val="99"/>
    <w:unhideWhenUsed/>
    <w:qFormat/>
    <w:rsid w:val="00B55A80"/>
    <w:pPr>
      <w:numPr>
        <w:numId w:val="10"/>
      </w:numPr>
      <w:suppressAutoHyphens/>
      <w:spacing w:before="120"/>
      <w:ind w:left="720"/>
      <w:contextualSpacing/>
    </w:pPr>
    <w:rPr>
      <w:rFonts w:asciiTheme="minorHAnsi" w:hAnsiTheme="minorHAnsi"/>
    </w:rPr>
  </w:style>
  <w:style w:type="paragraph" w:styleId="Caption">
    <w:name w:val="caption"/>
    <w:basedOn w:val="Normal"/>
    <w:next w:val="Normal"/>
    <w:uiPriority w:val="35"/>
    <w:semiHidden/>
    <w:unhideWhenUsed/>
    <w:qFormat/>
    <w:rsid w:val="00B9772D"/>
    <w:pPr>
      <w:suppressAutoHyphens/>
      <w:spacing w:before="120" w:line="240" w:lineRule="auto"/>
      <w:contextualSpacing/>
      <w:jc w:val="center"/>
    </w:pPr>
    <w:rPr>
      <w:rFonts w:asciiTheme="minorHAnsi" w:hAnsiTheme="minorHAnsi"/>
      <w:b/>
      <w:bCs/>
      <w:color w:val="000000" w:themeColor="text1"/>
      <w:sz w:val="20"/>
      <w:szCs w:val="18"/>
    </w:rPr>
  </w:style>
  <w:style w:type="paragraph" w:styleId="FootnoteText">
    <w:name w:val="footnote text"/>
    <w:basedOn w:val="Normal"/>
    <w:link w:val="FootnoteTextChar"/>
    <w:uiPriority w:val="99"/>
    <w:semiHidden/>
    <w:unhideWhenUsed/>
    <w:rsid w:val="00B977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772D"/>
    <w:rPr>
      <w:rFonts w:ascii="Palatino Linotype" w:hAnsi="Palatino Linotype"/>
      <w:sz w:val="20"/>
      <w:szCs w:val="20"/>
    </w:rPr>
  </w:style>
  <w:style w:type="character" w:styleId="FootnoteReference">
    <w:name w:val="footnote reference"/>
    <w:basedOn w:val="DefaultParagraphFont"/>
    <w:uiPriority w:val="99"/>
    <w:semiHidden/>
    <w:unhideWhenUsed/>
    <w:rsid w:val="00B9772D"/>
    <w:rPr>
      <w:vertAlign w:val="superscript"/>
    </w:rPr>
  </w:style>
  <w:style w:type="table" w:styleId="GridTable1Light">
    <w:name w:val="Grid Table 1 Light"/>
    <w:aliases w:val="WECC Table"/>
    <w:basedOn w:val="TableNormal"/>
    <w:uiPriority w:val="46"/>
    <w:rsid w:val="006D1E92"/>
    <w:pPr>
      <w:spacing w:after="0" w:line="240" w:lineRule="auto"/>
    </w:pPr>
    <w:rPr>
      <w:rFonts w:ascii="Palatino Linotype" w:hAnsi="Palatino Linotyp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Lucida Sans" w:hAnsi="Lucida Sans"/>
        <w:b/>
        <w:bCs/>
        <w:i w:val="0"/>
        <w:color w:val="FFFFFF" w:themeColor="background1"/>
        <w:sz w:val="20"/>
      </w:rPr>
      <w:tblPr/>
      <w:tcPr>
        <w:shd w:val="clear" w:color="auto" w:fill="00395D" w:themeFill="text2"/>
      </w:tcPr>
    </w:tblStylePr>
    <w:tblStylePr w:type="lastRow">
      <w:rPr>
        <w:b w:val="0"/>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b w:val="0"/>
        <w:bCs/>
      </w:rPr>
    </w:tblStylePr>
    <w:tblStylePr w:type="lastCol">
      <w:rPr>
        <w:b w:val="0"/>
        <w:bCs/>
      </w:rPr>
    </w:tblStylePr>
  </w:style>
  <w:style w:type="table" w:customStyle="1" w:styleId="WECCDefault">
    <w:name w:val="WECC Default"/>
    <w:basedOn w:val="TableNormal"/>
    <w:uiPriority w:val="99"/>
    <w:rsid w:val="001A1779"/>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4" w:type="dxa"/>
        <w:left w:w="115" w:type="dxa"/>
        <w:bottom w:w="14" w:type="dxa"/>
        <w:right w:w="115" w:type="dxa"/>
      </w:tcMar>
    </w:tcPr>
    <w:tblStylePr w:type="firstRow">
      <w:pPr>
        <w:jc w:val="left"/>
      </w:pPr>
      <w:rPr>
        <w:rFonts w:ascii="Lucida Sans" w:hAnsi="Lucida Sans"/>
        <w:b/>
        <w:sz w:val="22"/>
      </w:rPr>
      <w:tblPr/>
      <w:tcPr>
        <w:tcBorders>
          <w:top w:val="single" w:sz="4" w:space="0" w:color="666666" w:themeColor="accent5"/>
          <w:left w:val="single" w:sz="4" w:space="0" w:color="666666" w:themeColor="accent5"/>
          <w:bottom w:val="single" w:sz="4" w:space="0" w:color="666666" w:themeColor="accent5"/>
          <w:right w:val="single" w:sz="4" w:space="0" w:color="666666" w:themeColor="accent5"/>
          <w:insideH w:val="single" w:sz="4" w:space="0" w:color="666666" w:themeColor="accent5"/>
          <w:insideV w:val="single" w:sz="4" w:space="0" w:color="666666" w:themeColor="accent5"/>
        </w:tcBorders>
        <w:shd w:val="clear" w:color="auto" w:fill="00395D" w:themeFill="text2"/>
      </w:tcPr>
    </w:tblStylePr>
    <w:tblStylePr w:type="band2Horz">
      <w:tblPr/>
      <w:tcPr>
        <w:shd w:val="clear" w:color="auto" w:fill="E0E0E0" w:themeFill="accent5" w:themeFillTint="33"/>
      </w:tcPr>
    </w:tblStylePr>
  </w:style>
  <w:style w:type="paragraph" w:styleId="Revision">
    <w:name w:val="Revision"/>
    <w:hidden/>
    <w:uiPriority w:val="99"/>
    <w:semiHidden/>
    <w:rsid w:val="003F28DD"/>
    <w:pPr>
      <w:spacing w:after="0" w:line="240" w:lineRule="auto"/>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BasicDocument.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00395D"/>
      </a:dk2>
      <a:lt2>
        <a:srgbClr val="A99260"/>
      </a:lt2>
      <a:accent1>
        <a:srgbClr val="005172"/>
      </a:accent1>
      <a:accent2>
        <a:srgbClr val="005238"/>
      </a:accent2>
      <a:accent3>
        <a:srgbClr val="6D2D41"/>
      </a:accent3>
      <a:accent4>
        <a:srgbClr val="B53713"/>
      </a:accent4>
      <a:accent5>
        <a:srgbClr val="666666"/>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ther Reliability Documents" ma:contentTypeID="0x010100E45EF0F8AAA65E428351BA36F1B645BE1200CA280BBE04EF434C8DECBE67FD58A074" ma:contentTypeVersion="10" ma:contentTypeDescription="" ma:contentTypeScope="" ma:versionID="c2434c7e036fbdb00d76290cd9c6396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f3a7fd941f69af4be576b57cbcc2582"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liability_x0020_Documents" minOccurs="0"/>
                <xsd:element ref="ns2:Jurisdiction" minOccurs="0"/>
                <xsd:element ref="ns2:Standard_x0020_Family"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ma:readOnly="false">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liability_x0020_Documents" ma:index="14" nillable="true" ma:displayName="Other Reliability Documents" ma:format="Dropdown" ma:internalName="Other_x0020_Reliability_x0020_Documents" ma:readOnly="false">
      <xsd:simpleType>
        <xsd:restriction base="dms:Choice">
          <xsd:enumeration value="..."/>
          <xsd:enumeration value="Best Practices"/>
          <xsd:enumeration value="Checklist"/>
          <xsd:enumeration value="Methodology"/>
          <xsd:enumeration value="Misoperations"/>
          <xsd:enumeration value="Protocol"/>
          <xsd:enumeration value="Workflow"/>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16"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Report or Other</Document_x0020_Categorization_x0020_Policy>
    <TaxCatchAll xmlns="4bd63098-0c83-43cf-abdd-085f2cc55a51">
      <Value>1539</Value>
      <Value>2419</Value>
      <Value>2257</Value>
    </TaxCatchAll>
    <Privacy xmlns="2fb8a92a-9032-49d6-b983-191f0a73b01f">Public</Privacy>
    <Event_x0020_ID xmlns="4bd63098-0c83-43cf-abdd-085f2cc55a51" xsi:nil="true"/>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WECC-0148</TermName>
          <TermId xmlns="http://schemas.microsoft.com/office/infopath/2007/PartnerControls">9541e38b-7400-4221-9974-85052da10b63</TermId>
        </TermInfo>
        <TermInfo xmlns="http://schemas.microsoft.com/office/infopath/2007/PartnerControls">
          <TermName xmlns="http://schemas.microsoft.com/office/infopath/2007/PartnerControls">NERCFilings</TermName>
          <TermId xmlns="http://schemas.microsoft.com/office/infopath/2007/PartnerControls">0e89d8f0-e018-45cc-b5bf-f537405b2363</TermId>
        </TermInfo>
        <TermInfo xmlns="http://schemas.microsoft.com/office/infopath/2007/PartnerControls">
          <TermName xmlns="http://schemas.microsoft.com/office/infopath/2007/PartnerControls">NERC Filings</TermName>
          <TermId xmlns="http://schemas.microsoft.com/office/infopath/2007/PartnerControls">38da0236-f1a7-4cb0-b512-0acfdf6fb813</TermId>
        </TermInfo>
      </Terms>
    </TaxKeywordTaxHTField>
    <Approver xmlns="4bd63098-0c83-43cf-abdd-085f2cc55a51">
      <UserInfo>
        <DisplayName>Crane, Donovan</DisplayName>
        <AccountId>6264</AccountId>
        <AccountType/>
      </UserInfo>
    </Approver>
    <_dlc_DocId xmlns="4bd63098-0c83-43cf-abdd-085f2cc55a51">YWEQ7USXTMD7-3-13412</_dlc_DocId>
    <_dlc_DocIdUrl xmlns="4bd63098-0c83-43cf-abdd-085f2cc55a51">
      <Url>https://internal.wecc.org/_layouts/15/DocIdRedir.aspx?ID=YWEQ7USXTMD7-3-13412</Url>
      <Description>YWEQ7USXTMD7-3-13412</Description>
    </_dlc_DocIdUrl>
    <Jurisdiction xmlns="2fb8a92a-9032-49d6-b983-191f0a73b01f"/>
    <Standard_x0020_Family xmlns="2fb8a92a-9032-49d6-b983-191f0a73b01f">VAR</Standard_x0020_Family>
    <Other_x0020_Reliability_x0020_Documents xmlns="2fb8a92a-9032-49d6-b983-191f0a73b01f" xsi:nil="true"/>
    <Adopted_x002f_Approved_x0020_By xmlns="2fb8a92a-9032-49d6-b983-191f0a73b01f">WSC</Adopted_x002f_Approved_x0020_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10277BD-F695-45B6-A5EF-D79ED74E7688}"/>
</file>

<file path=customXml/itemProps2.xml><?xml version="1.0" encoding="utf-8"?>
<ds:datastoreItem xmlns:ds="http://schemas.openxmlformats.org/officeDocument/2006/customXml" ds:itemID="{AEB8D720-DB71-400C-BAAF-CCA315420C8F}">
  <ds:schemaRefs>
    <ds:schemaRef ds:uri="http://schemas.openxmlformats.org/officeDocument/2006/bibliography"/>
  </ds:schemaRefs>
</ds:datastoreItem>
</file>

<file path=customXml/itemProps3.xml><?xml version="1.0" encoding="utf-8"?>
<ds:datastoreItem xmlns:ds="http://schemas.openxmlformats.org/officeDocument/2006/customXml" ds:itemID="{3DF3CEA2-2874-4750-BAE0-D70E1C9F2A94}">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customXml/itemProps4.xml><?xml version="1.0" encoding="utf-8"?>
<ds:datastoreItem xmlns:ds="http://schemas.openxmlformats.org/officeDocument/2006/customXml" ds:itemID="{EF15D0F2-E76C-4E04-A45E-683AADC2B032}">
  <ds:schemaRefs>
    <ds:schemaRef ds:uri="http://schemas.microsoft.com/sharepoint/v3/contenttype/forms"/>
  </ds:schemaRefs>
</ds:datastoreItem>
</file>

<file path=customXml/itemProps5.xml><?xml version="1.0" encoding="utf-8"?>
<ds:datastoreItem xmlns:ds="http://schemas.openxmlformats.org/officeDocument/2006/customXml" ds:itemID="{8AF971F0-3D0E-44C3-8DF4-7A35B593CF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BasicDocument</Template>
  <TotalTime>10</TotalTime>
  <Pages>3</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WECC-0148 VAR-501-WECC-4 PSS Info Filing - Attachment T - Additional Supporting Documentation</dc:title>
  <dc:subject/>
  <dc:creator>Coleman, Chad</dc:creator>
  <cp:keywords>NERCFilings; WECC-0148; NERC Filings</cp:keywords>
  <dc:description/>
  <cp:lastModifiedBy>Rueckert, Steve</cp:lastModifiedBy>
  <cp:revision>4</cp:revision>
  <cp:lastPrinted>2019-01-04T22:00:00Z</cp:lastPrinted>
  <dcterms:created xsi:type="dcterms:W3CDTF">2022-12-15T22:00:00Z</dcterms:created>
  <dcterms:modified xsi:type="dcterms:W3CDTF">2023-04-06T22:20:00Z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0x010100E45EF0F8AAA65E428351BA36F1B645BE1200CA280BBE04EF434C8DECBE67FD58A074</vt:lpwstr>
  </property>
  <property fmtid="{D5CDD505-2E9C-101B-9397-08002B2CF9AE}" pid="3" name="_dlc_DocIdItemGuid">
    <vt:lpwstr>c2ab4393-8d84-4e3c-b26a-4db5c70bfaf1</vt:lpwstr>
  </property>
  <property fmtid="{D5CDD505-2E9C-101B-9397-08002B2CF9AE}" pid="4" name="TaxKeyword">
    <vt:lpwstr>2257;#WECC-0148|9541e38b-7400-4221-9974-85052da10b63;#2419;#NERCFilings|0e89d8f0-e018-45cc-b5bf-f537405b2363;#1539;#NERC Filings|38da0236-f1a7-4cb0-b512-0acfdf6fb813</vt:lpwstr>
  </property>
  <property fmtid="{D5CDD505-2E9C-101B-9397-08002B2CF9AE}" pid="5" name="ClassificationContentMarkingHeaderShapeIds">
    <vt:lpwstr>2,3,5</vt:lpwstr>
  </property>
  <property fmtid="{D5CDD505-2E9C-101B-9397-08002B2CF9AE}" pid="6" name="ClassificationContentMarkingHeaderFontProps">
    <vt:lpwstr>#000000,10,Calibri</vt:lpwstr>
  </property>
  <property fmtid="{D5CDD505-2E9C-101B-9397-08002B2CF9AE}" pid="7" name="ClassificationContentMarkingHeaderText">
    <vt:lpwstr>&lt;Public&gt;</vt:lpwstr>
  </property>
  <property fmtid="{D5CDD505-2E9C-101B-9397-08002B2CF9AE}" pid="8" name="MSIP_Label_878e9819-3d07-47f7-9697-834686d925a0_Enabled">
    <vt:lpwstr>true</vt:lpwstr>
  </property>
  <property fmtid="{D5CDD505-2E9C-101B-9397-08002B2CF9AE}" pid="9" name="MSIP_Label_878e9819-3d07-47f7-9697-834686d925a0_SetDate">
    <vt:lpwstr>2023-04-06T22:20:43Z</vt:lpwstr>
  </property>
  <property fmtid="{D5CDD505-2E9C-101B-9397-08002B2CF9AE}" pid="10" name="MSIP_Label_878e9819-3d07-47f7-9697-834686d925a0_Method">
    <vt:lpwstr>Privileged</vt:lpwstr>
  </property>
  <property fmtid="{D5CDD505-2E9C-101B-9397-08002B2CF9AE}" pid="11" name="MSIP_Label_878e9819-3d07-47f7-9697-834686d925a0_Name">
    <vt:lpwstr>Public</vt:lpwstr>
  </property>
  <property fmtid="{D5CDD505-2E9C-101B-9397-08002B2CF9AE}" pid="12" name="MSIP_Label_878e9819-3d07-47f7-9697-834686d925a0_SiteId">
    <vt:lpwstr>fd6f305d-c929-4e10-9d46-2e7058aae5e6</vt:lpwstr>
  </property>
  <property fmtid="{D5CDD505-2E9C-101B-9397-08002B2CF9AE}" pid="13" name="MSIP_Label_878e9819-3d07-47f7-9697-834686d925a0_ActionId">
    <vt:lpwstr>17e6f4e7-b5a4-4765-953e-1dd97fd7e068</vt:lpwstr>
  </property>
  <property fmtid="{D5CDD505-2E9C-101B-9397-08002B2CF9AE}" pid="14" name="MSIP_Label_878e9819-3d07-47f7-9697-834686d925a0_ContentBits">
    <vt:lpwstr>1</vt:lpwstr>
  </property>
</Properties>
</file>