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99C9" w14:textId="2DFB912B" w:rsidR="00323BC9" w:rsidRPr="00E60569" w:rsidRDefault="0053685B" w:rsidP="00E60569">
      <w:pPr>
        <w:pStyle w:val="Heading1"/>
      </w:pPr>
      <w:r>
        <w:t xml:space="preserve">Posting </w:t>
      </w:r>
      <w:r w:rsidR="007511E4">
        <w:t>5</w:t>
      </w:r>
    </w:p>
    <w:p w14:paraId="04529282" w14:textId="77777777" w:rsidR="0053685B" w:rsidRDefault="0053685B" w:rsidP="0053685B">
      <w:pPr>
        <w:pStyle w:val="Heading2"/>
      </w:pPr>
      <w:r>
        <w:t>Posting</w:t>
      </w:r>
    </w:p>
    <w:p w14:paraId="1073C33F" w14:textId="1B8BE623" w:rsidR="00143454" w:rsidRDefault="0094025E" w:rsidP="007F2A93">
      <w:bookmarkStart w:id="0" w:name="_Hlk17896249"/>
      <w:r>
        <w:t>Th</w:t>
      </w:r>
      <w:r w:rsidR="00A27E3A">
        <w:t xml:space="preserve">is project was posted </w:t>
      </w:r>
      <w:r>
        <w:t>for comment from</w:t>
      </w:r>
      <w:r w:rsidR="00A27E3A">
        <w:t xml:space="preserve"> </w:t>
      </w:r>
      <w:r w:rsidR="007511E4">
        <w:t>June 24 through July 25, 2022.</w:t>
      </w:r>
      <w:r w:rsidR="00716BCC">
        <w:t xml:space="preserve"> </w:t>
      </w:r>
    </w:p>
    <w:p w14:paraId="0592FFD5" w14:textId="1F865130" w:rsidR="008D7432" w:rsidRDefault="0053685B" w:rsidP="007F2A93">
      <w:r>
        <w:t xml:space="preserve">WECC distributed notice for the </w:t>
      </w:r>
      <w:r w:rsidR="00DE4285">
        <w:t xml:space="preserve">posting on </w:t>
      </w:r>
      <w:r w:rsidR="007511E4">
        <w:t>June 23, 2022.</w:t>
      </w:r>
      <w:r w:rsidR="002B0F9B">
        <w:t xml:space="preserve"> </w:t>
      </w:r>
      <w:r>
        <w:t xml:space="preserve">The </w:t>
      </w:r>
      <w:r w:rsidR="001B5EEC">
        <w:t>drafting team (</w:t>
      </w:r>
      <w:r>
        <w:t>DT</w:t>
      </w:r>
      <w:r w:rsidR="001B5EEC">
        <w:t>)</w:t>
      </w:r>
      <w:r>
        <w:t xml:space="preserve"> asked stakeholders to provide feedback on the proposed document</w:t>
      </w:r>
      <w:r w:rsidR="008D7432">
        <w:t>(</w:t>
      </w:r>
      <w:r w:rsidR="00B437B5">
        <w:t>s</w:t>
      </w:r>
      <w:r w:rsidR="008D7432">
        <w:t>)</w:t>
      </w:r>
      <w:r>
        <w:t xml:space="preserve"> through a standardized electronic template.</w:t>
      </w:r>
    </w:p>
    <w:p w14:paraId="736D4D8A" w14:textId="3FB97BD7" w:rsidR="00FF343F" w:rsidRDefault="008B7E87" w:rsidP="007F2A93">
      <w:r>
        <w:t xml:space="preserve">Three </w:t>
      </w:r>
      <w:r w:rsidR="00FF343F" w:rsidRPr="00EA368D">
        <w:t xml:space="preserve">comments were received on </w:t>
      </w:r>
      <w:r w:rsidR="005D7F49" w:rsidRPr="00EA368D">
        <w:t xml:space="preserve">the </w:t>
      </w:r>
      <w:r w:rsidR="00FF343F" w:rsidRPr="00EA368D">
        <w:t>project.</w:t>
      </w:r>
      <w:r w:rsidR="00FF343F">
        <w:t xml:space="preserve"> </w:t>
      </w:r>
    </w:p>
    <w:p w14:paraId="4344AC0E" w14:textId="77777777" w:rsidR="0053685B" w:rsidRDefault="0053685B" w:rsidP="0053685B">
      <w:pPr>
        <w:pStyle w:val="Heading2"/>
      </w:pPr>
      <w:r>
        <w:t>Location of Comments</w:t>
      </w:r>
    </w:p>
    <w:p w14:paraId="3C8977EB" w14:textId="7D5A37B1" w:rsidR="0053685B" w:rsidRDefault="00A27E3A" w:rsidP="007F2A93">
      <w:r>
        <w:t xml:space="preserve">Comments can </w:t>
      </w:r>
      <w:r w:rsidR="00FF343F">
        <w:t xml:space="preserve">be </w:t>
      </w:r>
      <w:r w:rsidR="0053685B">
        <w:t xml:space="preserve">viewed in their original format on the </w:t>
      </w:r>
      <w:hyperlink r:id="rId12" w:history="1">
        <w:r w:rsidR="004A61E0">
          <w:rPr>
            <w:rStyle w:val="Hyperlink"/>
          </w:rPr>
          <w:t>WECC-0146</w:t>
        </w:r>
      </w:hyperlink>
      <w:r w:rsidR="004A61E0">
        <w:t xml:space="preserve"> </w:t>
      </w:r>
      <w:r w:rsidR="0053685B">
        <w:t>project page</w:t>
      </w:r>
      <w:r>
        <w:t xml:space="preserve"> </w:t>
      </w:r>
      <w:r w:rsidR="0053685B">
        <w:t>under the “Submit and Review Comments” accordion.</w:t>
      </w:r>
    </w:p>
    <w:p w14:paraId="00CA3C41" w14:textId="77777777" w:rsidR="0053685B" w:rsidRDefault="0053685B" w:rsidP="0053685B">
      <w:pPr>
        <w:pStyle w:val="Heading2"/>
      </w:pPr>
      <w:r>
        <w:t>Changes in Response to Comment</w:t>
      </w:r>
    </w:p>
    <w:p w14:paraId="28B5790E" w14:textId="3E30F36E" w:rsidR="00F84051" w:rsidRDefault="002C0B4D" w:rsidP="000268B4">
      <w:pPr>
        <w:rPr>
          <w:b/>
        </w:rPr>
      </w:pPr>
      <w:r w:rsidRPr="002C0B4D">
        <w:t>The WR1.4 Rationale language added in Posting 5</w:t>
      </w:r>
      <w:r w:rsidRPr="002C0B4D">
        <w:rPr>
          <w:rStyle w:val="FootnoteReference"/>
          <w:bCs/>
        </w:rPr>
        <w:footnoteReference w:id="1"/>
      </w:r>
      <w:r w:rsidRPr="002C0B4D">
        <w:t xml:space="preserve"> is deleted for Posting 6.</w:t>
      </w:r>
      <w:r w:rsidR="002B0F9B">
        <w:t xml:space="preserve"> </w:t>
      </w:r>
      <w:r w:rsidR="00F84051">
        <w:t xml:space="preserve">No other changes were made. </w:t>
      </w:r>
    </w:p>
    <w:p w14:paraId="116AA385" w14:textId="65305686" w:rsidR="002C0B4D" w:rsidRPr="002C0B4D" w:rsidRDefault="00F84051" w:rsidP="000268B4">
      <w:pPr>
        <w:rPr>
          <w:b/>
        </w:rPr>
      </w:pPr>
      <w:r>
        <w:t xml:space="preserve">Concerns were raised that the Rationale language </w:t>
      </w:r>
      <w:r w:rsidR="004B393E">
        <w:t xml:space="preserve">could </w:t>
      </w:r>
      <w:r>
        <w:t xml:space="preserve">muddle </w:t>
      </w:r>
      <w:r w:rsidR="004B393E">
        <w:t xml:space="preserve">implementation </w:t>
      </w:r>
      <w:r>
        <w:t>of Non-Consequential Load Loss</w:t>
      </w:r>
      <w:r>
        <w:rPr>
          <w:rStyle w:val="FootnoteReference"/>
          <w:bCs/>
        </w:rPr>
        <w:footnoteReference w:id="2"/>
      </w:r>
      <w:r>
        <w:t xml:space="preserve"> as </w:t>
      </w:r>
      <w:r w:rsidR="004B393E">
        <w:t xml:space="preserve">defined in </w:t>
      </w:r>
      <w:r>
        <w:t xml:space="preserve">the </w:t>
      </w:r>
      <w:r w:rsidR="00762499">
        <w:t xml:space="preserve">NERC Glossary of Terms Used in </w:t>
      </w:r>
      <w:r>
        <w:t>R</w:t>
      </w:r>
      <w:r w:rsidR="00762499">
        <w:t>eliability Standards</w:t>
      </w:r>
      <w:r>
        <w:t>.</w:t>
      </w:r>
      <w:r w:rsidR="002B0F9B">
        <w:t xml:space="preserve"> </w:t>
      </w:r>
    </w:p>
    <w:p w14:paraId="09695891" w14:textId="6BF5220D" w:rsidR="0053685B" w:rsidRPr="006501CE" w:rsidRDefault="0053685B" w:rsidP="0053685B">
      <w:pPr>
        <w:pStyle w:val="Heading2"/>
      </w:pPr>
      <w:r w:rsidRPr="006501CE">
        <w:t>Minority View</w:t>
      </w:r>
    </w:p>
    <w:p w14:paraId="6CA95A8C" w14:textId="0A29DC05" w:rsidR="00796944" w:rsidRDefault="00F84051" w:rsidP="007F2A93">
      <w:r>
        <w:t xml:space="preserve">Though not included in Posting 5 written comments, a </w:t>
      </w:r>
      <w:r w:rsidR="004B393E">
        <w:t xml:space="preserve">verbal </w:t>
      </w:r>
      <w:r>
        <w:t xml:space="preserve">suggestion was </w:t>
      </w:r>
      <w:r w:rsidR="004B393E">
        <w:t>offered during the Posting 5 Response to Comments that WR1.4 may no longer be required.</w:t>
      </w:r>
      <w:r w:rsidR="002B0F9B">
        <w:t xml:space="preserve"> </w:t>
      </w:r>
      <w:r w:rsidR="004B393E">
        <w:t>The suggestion was not adopted.</w:t>
      </w:r>
    </w:p>
    <w:p w14:paraId="289FA135" w14:textId="5FC963C9" w:rsidR="00716BCC" w:rsidRPr="0068547F" w:rsidRDefault="004B393E" w:rsidP="008B6516">
      <w:r>
        <w:lastRenderedPageBreak/>
        <w:t xml:space="preserve">The DT concluded that </w:t>
      </w:r>
      <w:r w:rsidR="00796944">
        <w:t xml:space="preserve">over multiple decades </w:t>
      </w:r>
      <w:r w:rsidR="00322E28">
        <w:t xml:space="preserve">the language </w:t>
      </w:r>
      <w:r w:rsidR="00796944">
        <w:t xml:space="preserve">has served </w:t>
      </w:r>
      <w:r w:rsidR="00322E28">
        <w:t>as the foundation for various business practices throughout the Western Interconnection</w:t>
      </w:r>
      <w:r w:rsidR="00796944">
        <w:t>.</w:t>
      </w:r>
      <w:r w:rsidR="002B0F9B">
        <w:t xml:space="preserve"> </w:t>
      </w:r>
      <w:r w:rsidR="00796944">
        <w:t>In the absence of technical justification in support of its removal, the language should be retained.</w:t>
      </w:r>
      <w:r w:rsidR="002B0F9B">
        <w:t xml:space="preserve"> </w:t>
      </w:r>
    </w:p>
    <w:p w14:paraId="4368A7CD" w14:textId="77777777" w:rsidR="0053685B" w:rsidRDefault="0053685B" w:rsidP="0053685B">
      <w:pPr>
        <w:pStyle w:val="Heading2"/>
      </w:pPr>
      <w:r>
        <w:t>Proposed Effective Date</w:t>
      </w:r>
    </w:p>
    <w:p w14:paraId="20FA3034" w14:textId="380DF553" w:rsidR="0094025E" w:rsidRDefault="0094025E" w:rsidP="0053685B">
      <w:r>
        <w:t>The proposed effective date is</w:t>
      </w:r>
      <w:r w:rsidR="00FF343F">
        <w:t xml:space="preserve"> </w:t>
      </w:r>
      <w:r w:rsidR="00A27E3A">
        <w:t xml:space="preserve">the first day of the </w:t>
      </w:r>
      <w:r w:rsidR="00EA0066">
        <w:t xml:space="preserve">second </w:t>
      </w:r>
      <w:r w:rsidR="00A27E3A">
        <w:t>quarter following approval by the WECC Board of Directors (</w:t>
      </w:r>
      <w:r w:rsidR="001B5EEC">
        <w:t>Board</w:t>
      </w:r>
      <w:r w:rsidR="00A27E3A">
        <w:t>).</w:t>
      </w:r>
      <w:r w:rsidR="001B5EEC">
        <w:t xml:space="preserve"> </w:t>
      </w:r>
    </w:p>
    <w:p w14:paraId="3917EE5E" w14:textId="77777777" w:rsidR="0053685B" w:rsidRDefault="0053685B" w:rsidP="0053685B">
      <w:pPr>
        <w:pStyle w:val="Heading2"/>
      </w:pPr>
      <w:r>
        <w:t>Justification</w:t>
      </w:r>
    </w:p>
    <w:bookmarkEnd w:id="0"/>
    <w:p w14:paraId="66205DD1" w14:textId="463770BF" w:rsidR="007A64C7" w:rsidRDefault="00591960" w:rsidP="0094025E">
      <w:pPr>
        <w:rPr>
          <w:rFonts w:eastAsia="Palatino Linotype" w:cs="Times New Roman"/>
        </w:rPr>
      </w:pPr>
      <w:r>
        <w:rPr>
          <w:rFonts w:eastAsia="Palatino Linotype" w:cs="Times New Roman"/>
        </w:rPr>
        <w:t>E</w:t>
      </w:r>
      <w:r w:rsidR="00EA0066">
        <w:rPr>
          <w:rFonts w:eastAsia="Palatino Linotype" w:cs="Times New Roman"/>
        </w:rPr>
        <w:t>ntities may be using planning criteria other than the specified default</w:t>
      </w:r>
      <w:r w:rsidR="004A61E0">
        <w:rPr>
          <w:rFonts w:eastAsia="Palatino Linotype" w:cs="Times New Roman"/>
        </w:rPr>
        <w:t xml:space="preserve">s. </w:t>
      </w:r>
      <w:r w:rsidR="00EA0066">
        <w:rPr>
          <w:rFonts w:eastAsia="Palatino Linotype" w:cs="Times New Roman"/>
        </w:rPr>
        <w:t xml:space="preserve">Setting the effective date as the first day of the second quarter should allow sufficient time to implement </w:t>
      </w:r>
      <w:r w:rsidR="008D34AA">
        <w:rPr>
          <w:rFonts w:eastAsia="Palatino Linotype" w:cs="Times New Roman"/>
        </w:rPr>
        <w:t>default criteria</w:t>
      </w:r>
      <w:r>
        <w:rPr>
          <w:rFonts w:eastAsia="Palatino Linotype" w:cs="Times New Roman"/>
        </w:rPr>
        <w:t xml:space="preserve">. </w:t>
      </w:r>
    </w:p>
    <w:p w14:paraId="02BC1AAF" w14:textId="77777777" w:rsidR="0094025E" w:rsidRPr="0094025E" w:rsidRDefault="0094025E" w:rsidP="0094025E">
      <w:pPr>
        <w:suppressAutoHyphens/>
        <w:spacing w:before="240"/>
        <w:outlineLvl w:val="1"/>
        <w:rPr>
          <w:rFonts w:ascii="Lucida Sans" w:eastAsia="Palatino Linotype" w:hAnsi="Lucida Sans" w:cs="Times New Roman"/>
          <w:b/>
          <w:sz w:val="24"/>
        </w:rPr>
      </w:pPr>
      <w:r w:rsidRPr="0094025E">
        <w:rPr>
          <w:rFonts w:ascii="Lucida Sans" w:eastAsia="Palatino Linotype" w:hAnsi="Lucida Sans" w:cs="Times New Roman"/>
          <w:b/>
          <w:sz w:val="24"/>
        </w:rPr>
        <w:t xml:space="preserve">Impact on Other </w:t>
      </w:r>
      <w:r w:rsidR="00A27E3A">
        <w:rPr>
          <w:rFonts w:ascii="Lucida Sans" w:eastAsia="Palatino Linotype" w:hAnsi="Lucida Sans" w:cs="Times New Roman"/>
          <w:b/>
          <w:sz w:val="24"/>
        </w:rPr>
        <w:t>WECC Criteria</w:t>
      </w:r>
    </w:p>
    <w:p w14:paraId="05585371" w14:textId="77777777" w:rsidR="00FF343F" w:rsidRDefault="00FF343F" w:rsidP="0094025E">
      <w:pPr>
        <w:rPr>
          <w:rFonts w:eastAsia="Palatino Linotype" w:cs="Times New Roman"/>
        </w:rPr>
      </w:pPr>
      <w:r>
        <w:rPr>
          <w:rFonts w:eastAsia="Palatino Linotype" w:cs="Times New Roman"/>
        </w:rPr>
        <w:t>None.</w:t>
      </w:r>
    </w:p>
    <w:p w14:paraId="2885BB72" w14:textId="77777777" w:rsidR="0053685B" w:rsidRDefault="0053685B" w:rsidP="0053685B">
      <w:pPr>
        <w:pStyle w:val="Heading2"/>
      </w:pPr>
      <w:r>
        <w:t>Action Plan</w:t>
      </w:r>
      <w:r w:rsidR="008446F5">
        <w:t xml:space="preserve"> </w:t>
      </w:r>
    </w:p>
    <w:p w14:paraId="2D74C106" w14:textId="4FBFDA02" w:rsidR="00EA0066" w:rsidRPr="00C20BD8" w:rsidRDefault="0068547F" w:rsidP="00EA0066">
      <w:pPr>
        <w:pStyle w:val="Normal2"/>
        <w:ind w:left="0"/>
      </w:pPr>
      <w:r w:rsidRPr="00C20BD8">
        <w:t>On J</w:t>
      </w:r>
      <w:r w:rsidR="00C20BD8" w:rsidRPr="00C20BD8">
        <w:t xml:space="preserve">uly 28, 2022, </w:t>
      </w:r>
      <w:r w:rsidRPr="00C20BD8">
        <w:t xml:space="preserve">the WECC-0146, TPL-001-WECC-CRT-3, Transmission System Planning Performance Drafting Team (DT) agreed </w:t>
      </w:r>
      <w:r w:rsidR="00EA0066" w:rsidRPr="00C20BD8">
        <w:t xml:space="preserve">to post Posting </w:t>
      </w:r>
      <w:r w:rsidR="00C20BD8" w:rsidRPr="00C20BD8">
        <w:t>6</w:t>
      </w:r>
      <w:r w:rsidR="00EA0066" w:rsidRPr="00C20BD8">
        <w:t xml:space="preserve"> for a 30-day comment period.</w:t>
      </w:r>
      <w:r w:rsidR="001B5EEC" w:rsidRPr="00C20BD8">
        <w:t xml:space="preserve"> </w:t>
      </w:r>
      <w:r w:rsidR="00EA0066" w:rsidRPr="00C20BD8">
        <w:t xml:space="preserve">Once the comment period opens, comments can be submitted by selecting the Submit and Review Comments accordion on the WECC-0146 </w:t>
      </w:r>
      <w:r w:rsidR="001B5EEC" w:rsidRPr="00C20BD8">
        <w:t>h</w:t>
      </w:r>
      <w:r w:rsidR="00EA0066" w:rsidRPr="00C20BD8">
        <w:t>ome</w:t>
      </w:r>
      <w:r w:rsidR="001B5EEC" w:rsidRPr="00C20BD8">
        <w:t>p</w:t>
      </w:r>
      <w:r w:rsidR="00EA0066" w:rsidRPr="00C20BD8">
        <w:t xml:space="preserve">age. Then, click Submit Responses to Posting </w:t>
      </w:r>
      <w:r w:rsidR="00C20BD8" w:rsidRPr="00C20BD8">
        <w:t>6</w:t>
      </w:r>
      <w:r w:rsidR="00EA0066" w:rsidRPr="00C20BD8">
        <w:t>.</w:t>
      </w:r>
      <w:r w:rsidR="001B5EEC" w:rsidRPr="00C20BD8">
        <w:t xml:space="preserve"> </w:t>
      </w:r>
    </w:p>
    <w:p w14:paraId="731DCBBF" w14:textId="34C05AF2" w:rsidR="00EA0066" w:rsidRPr="00C20BD8" w:rsidRDefault="00EA0066" w:rsidP="00EA0066">
      <w:pPr>
        <w:pStyle w:val="Normal2"/>
        <w:ind w:left="0"/>
      </w:pPr>
      <w:r w:rsidRPr="00C20BD8">
        <w:t>The posting period will open</w:t>
      </w:r>
      <w:r w:rsidR="00C20BD8" w:rsidRPr="00C20BD8">
        <w:t xml:space="preserve"> August 8, 2022, </w:t>
      </w:r>
      <w:r w:rsidR="00891439" w:rsidRPr="00C20BD8">
        <w:t>and c</w:t>
      </w:r>
      <w:r w:rsidR="005D2FE6" w:rsidRPr="00C20BD8">
        <w:t xml:space="preserve">lose </w:t>
      </w:r>
      <w:r w:rsidR="00C20BD8" w:rsidRPr="00C20BD8">
        <w:t>September 7, 2022.</w:t>
      </w:r>
      <w:r w:rsidR="002B0F9B">
        <w:t xml:space="preserve"> </w:t>
      </w:r>
    </w:p>
    <w:p w14:paraId="591E484C" w14:textId="77777777" w:rsidR="00EA0066" w:rsidRPr="00C20BD8" w:rsidRDefault="00EA0066" w:rsidP="00EA0066">
      <w:pPr>
        <w:pStyle w:val="Normal2"/>
        <w:ind w:left="0"/>
      </w:pPr>
      <w:r w:rsidRPr="00C20BD8">
        <w:t xml:space="preserve">The DT will meet as follows to address comments received: </w:t>
      </w:r>
    </w:p>
    <w:p w14:paraId="7CA99134" w14:textId="352CC504" w:rsidR="005D2FE6" w:rsidRPr="00C20BD8" w:rsidRDefault="00C20BD8" w:rsidP="000268B4">
      <w:pPr>
        <w:pStyle w:val="MeetingsLeader"/>
        <w:numPr>
          <w:ilvl w:val="0"/>
          <w:numId w:val="30"/>
        </w:numPr>
        <w:ind w:left="720"/>
      </w:pPr>
      <w:bookmarkStart w:id="3" w:name="_Hlk80868955"/>
      <w:r w:rsidRPr="00C20BD8">
        <w:t xml:space="preserve">September 15, </w:t>
      </w:r>
      <w:r w:rsidR="009A4894" w:rsidRPr="00C20BD8">
        <w:t xml:space="preserve">2022, </w:t>
      </w:r>
      <w:r w:rsidR="005D2FE6" w:rsidRPr="00C20BD8">
        <w:t xml:space="preserve">10:00 a.m. to 12:00 p.m. </w:t>
      </w:r>
      <w:r w:rsidR="005D2FE6" w:rsidRPr="00C20BD8">
        <w:tab/>
      </w:r>
      <w:r w:rsidR="009A4894" w:rsidRPr="00C20BD8">
        <w:t>Virtual</w:t>
      </w:r>
    </w:p>
    <w:p w14:paraId="79F9669D" w14:textId="66C0DF57" w:rsidR="00C20BD8" w:rsidRPr="00C20BD8" w:rsidRDefault="00C20BD8" w:rsidP="000268B4">
      <w:pPr>
        <w:pStyle w:val="MeetingsLeader"/>
        <w:numPr>
          <w:ilvl w:val="0"/>
          <w:numId w:val="30"/>
        </w:numPr>
        <w:ind w:left="720"/>
      </w:pPr>
      <w:r w:rsidRPr="00C20BD8">
        <w:t xml:space="preserve">September </w:t>
      </w:r>
      <w:r w:rsidR="001512EE">
        <w:t>22</w:t>
      </w:r>
      <w:r w:rsidRPr="00C20BD8">
        <w:t xml:space="preserve">, 2022, 10:00 a.m. to 12:00 p.m. </w:t>
      </w:r>
      <w:r w:rsidRPr="00C20BD8">
        <w:tab/>
        <w:t>Virtual</w:t>
      </w:r>
    </w:p>
    <w:bookmarkEnd w:id="3"/>
    <w:p w14:paraId="6E4FE88A" w14:textId="77777777" w:rsidR="0053685B" w:rsidRDefault="0053685B" w:rsidP="0053685B">
      <w:pPr>
        <w:pStyle w:val="Heading2"/>
      </w:pPr>
      <w:r w:rsidRPr="005A728A">
        <w:t>Contacts and Appeals</w:t>
      </w:r>
    </w:p>
    <w:p w14:paraId="0A98E9C0" w14:textId="35514F3F" w:rsidR="00C05765" w:rsidRDefault="0053685B" w:rsidP="008E2D28">
      <w:r>
        <w:t xml:space="preserve">If you feel your comment has been omitted or overlooked, please contact </w:t>
      </w:r>
      <w:hyperlink r:id="rId13" w:history="1">
        <w:r w:rsidR="005A728A">
          <w:rPr>
            <w:rStyle w:val="Hyperlink"/>
          </w:rPr>
          <w:t>W. Shannon Black</w:t>
        </w:r>
      </w:hyperlink>
      <w:r w:rsidR="005A728A">
        <w:t xml:space="preserve">, </w:t>
      </w:r>
      <w:r>
        <w:t>WECC Consultant, at (503) 307-5782. In addition, there is a WECC Reliability Standards appeals process.</w:t>
      </w:r>
    </w:p>
    <w:tbl>
      <w:tblPr>
        <w:tblStyle w:val="WECCTable"/>
        <w:tblW w:w="0" w:type="auto"/>
        <w:tblLook w:val="04A0" w:firstRow="1" w:lastRow="0" w:firstColumn="1" w:lastColumn="0" w:noHBand="0" w:noVBand="1"/>
      </w:tblPr>
      <w:tblGrid>
        <w:gridCol w:w="3685"/>
        <w:gridCol w:w="6385"/>
      </w:tblGrid>
      <w:tr w:rsidR="008E2D28" w14:paraId="60B1031B" w14:textId="77777777" w:rsidTr="008E2D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5" w:type="dxa"/>
          </w:tcPr>
          <w:p w14:paraId="274C28B8" w14:textId="77777777" w:rsidR="008E2D28" w:rsidRDefault="008E2D28" w:rsidP="008E2D28">
            <w:r>
              <w:t>Commenter</w:t>
            </w:r>
          </w:p>
        </w:tc>
        <w:tc>
          <w:tcPr>
            <w:tcW w:w="6385" w:type="dxa"/>
          </w:tcPr>
          <w:p w14:paraId="2FC2D6A3" w14:textId="77777777" w:rsidR="008E2D28" w:rsidRDefault="008E2D28" w:rsidP="008E2D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Organization</w:t>
            </w:r>
          </w:p>
        </w:tc>
      </w:tr>
      <w:tr w:rsidR="002804E5" w14:paraId="06B41E3F" w14:textId="77777777" w:rsidTr="008E2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241CFB61" w14:textId="479C97C9" w:rsidR="002804E5" w:rsidRDefault="007511E4" w:rsidP="007511E4">
            <w:r w:rsidRPr="007511E4">
              <w:t>Adrian Andreoiu</w:t>
            </w:r>
          </w:p>
        </w:tc>
        <w:tc>
          <w:tcPr>
            <w:tcW w:w="6385" w:type="dxa"/>
          </w:tcPr>
          <w:p w14:paraId="06E47DA0" w14:textId="3B9278B6" w:rsidR="002804E5" w:rsidRDefault="007511E4" w:rsidP="00751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11E4">
              <w:t>BC Hydro</w:t>
            </w:r>
            <w:r w:rsidR="008B7E87">
              <w:t xml:space="preserve"> (BC)</w:t>
            </w:r>
          </w:p>
        </w:tc>
      </w:tr>
      <w:tr w:rsidR="00143454" w14:paraId="62E4140E" w14:textId="77777777" w:rsidTr="00143454">
        <w:trPr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7B67F78A" w14:textId="483243D1" w:rsidR="00143454" w:rsidRDefault="008B7E87" w:rsidP="001C7FB0">
            <w:r>
              <w:t xml:space="preserve">Gary </w:t>
            </w:r>
            <w:r w:rsidRPr="008B7E87">
              <w:t>Nolan</w:t>
            </w:r>
          </w:p>
        </w:tc>
        <w:tc>
          <w:tcPr>
            <w:tcW w:w="6385" w:type="dxa"/>
          </w:tcPr>
          <w:p w14:paraId="5E905A46" w14:textId="0E3F1A3F" w:rsidR="00143454" w:rsidRDefault="008B7E87" w:rsidP="001C7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7E87">
              <w:t>Arizona Public Service Company</w:t>
            </w:r>
            <w:r>
              <w:t xml:space="preserve"> (APS)</w:t>
            </w:r>
          </w:p>
        </w:tc>
      </w:tr>
      <w:tr w:rsidR="008B7E87" w14:paraId="6A186758" w14:textId="77777777" w:rsidTr="00143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488ADC6D" w14:textId="6D01FBD6" w:rsidR="008B7E87" w:rsidRDefault="008B7E87" w:rsidP="001C7FB0">
            <w:r>
              <w:t>Cain Braveheart</w:t>
            </w:r>
          </w:p>
        </w:tc>
        <w:tc>
          <w:tcPr>
            <w:tcW w:w="6385" w:type="dxa"/>
          </w:tcPr>
          <w:p w14:paraId="12372F25" w14:textId="5A246EB5" w:rsidR="008B7E87" w:rsidRPr="008B7E87" w:rsidRDefault="008B7E87" w:rsidP="001C7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Bonneville Power Administration (BPA)</w:t>
            </w:r>
          </w:p>
        </w:tc>
      </w:tr>
    </w:tbl>
    <w:p w14:paraId="5FABB633" w14:textId="77777777" w:rsidR="00FD2BC8" w:rsidRDefault="00FD2BC8" w:rsidP="005B679F">
      <w:pPr>
        <w:keepNext/>
        <w:keepLines/>
        <w:pBdr>
          <w:bottom w:val="single" w:sz="12" w:space="1" w:color="414042"/>
        </w:pBdr>
        <w:suppressAutoHyphens/>
        <w:spacing w:before="240"/>
        <w:outlineLvl w:val="0"/>
        <w:rPr>
          <w:rFonts w:ascii="Lucida Sans" w:eastAsiaTheme="majorEastAsia" w:hAnsi="Lucida Sans" w:cstheme="majorBidi"/>
          <w:b/>
          <w:bCs/>
          <w:color w:val="000000" w:themeColor="text1"/>
          <w:sz w:val="27"/>
          <w:szCs w:val="26"/>
        </w:rPr>
      </w:pPr>
    </w:p>
    <w:p w14:paraId="2D89C49E" w14:textId="77777777" w:rsidR="00FD2BC8" w:rsidRDefault="00FD2BC8">
      <w:pPr>
        <w:rPr>
          <w:rFonts w:ascii="Lucida Sans" w:eastAsiaTheme="majorEastAsia" w:hAnsi="Lucida Sans" w:cstheme="majorBidi"/>
          <w:b/>
          <w:bCs/>
          <w:color w:val="000000" w:themeColor="text1"/>
          <w:sz w:val="27"/>
          <w:szCs w:val="26"/>
        </w:rPr>
      </w:pPr>
      <w:r>
        <w:rPr>
          <w:rFonts w:ascii="Lucida Sans" w:eastAsiaTheme="majorEastAsia" w:hAnsi="Lucida Sans" w:cstheme="majorBidi"/>
          <w:b/>
          <w:bCs/>
          <w:color w:val="000000" w:themeColor="text1"/>
          <w:sz w:val="27"/>
          <w:szCs w:val="26"/>
        </w:rPr>
        <w:br w:type="page"/>
      </w:r>
    </w:p>
    <w:p w14:paraId="3C86E329" w14:textId="5979B7B7" w:rsidR="005B679F" w:rsidRPr="005B679F" w:rsidRDefault="005B679F" w:rsidP="005B679F">
      <w:pPr>
        <w:keepNext/>
        <w:keepLines/>
        <w:pBdr>
          <w:bottom w:val="single" w:sz="12" w:space="1" w:color="414042"/>
        </w:pBdr>
        <w:suppressAutoHyphens/>
        <w:spacing w:before="240"/>
        <w:outlineLvl w:val="0"/>
        <w:rPr>
          <w:rFonts w:ascii="Lucida Sans" w:eastAsiaTheme="majorEastAsia" w:hAnsi="Lucida Sans" w:cstheme="majorBidi"/>
          <w:b/>
          <w:bCs/>
          <w:color w:val="000000" w:themeColor="text1"/>
          <w:sz w:val="27"/>
          <w:szCs w:val="26"/>
        </w:rPr>
      </w:pPr>
      <w:r w:rsidRPr="005B679F">
        <w:rPr>
          <w:rFonts w:ascii="Lucida Sans" w:eastAsiaTheme="majorEastAsia" w:hAnsi="Lucida Sans" w:cstheme="majorBidi"/>
          <w:b/>
          <w:bCs/>
          <w:color w:val="000000" w:themeColor="text1"/>
          <w:sz w:val="27"/>
          <w:szCs w:val="26"/>
        </w:rPr>
        <w:lastRenderedPageBreak/>
        <w:t>Index to Questions, Comments, and Responses</w:t>
      </w:r>
    </w:p>
    <w:p w14:paraId="1DC562EE" w14:textId="77777777" w:rsidR="005B679F" w:rsidRPr="005B679F" w:rsidRDefault="005B679F" w:rsidP="005B679F">
      <w:pPr>
        <w:keepNext/>
        <w:keepLines/>
        <w:suppressAutoHyphens/>
        <w:spacing w:before="240"/>
        <w:outlineLvl w:val="1"/>
        <w:rPr>
          <w:rFonts w:ascii="Lucida Sans" w:hAnsi="Lucida Sans"/>
          <w:b/>
          <w:sz w:val="24"/>
        </w:rPr>
      </w:pPr>
      <w:r w:rsidRPr="005B679F">
        <w:rPr>
          <w:rFonts w:ascii="Lucida Sans" w:hAnsi="Lucida Sans"/>
          <w:b/>
          <w:sz w:val="24"/>
        </w:rPr>
        <w:t>Question</w:t>
      </w:r>
    </w:p>
    <w:p w14:paraId="16B4E791" w14:textId="74B6C44D" w:rsidR="005B679F" w:rsidRPr="005B679F" w:rsidRDefault="008B7E87" w:rsidP="005B679F">
      <w:pPr>
        <w:numPr>
          <w:ilvl w:val="0"/>
          <w:numId w:val="11"/>
        </w:numPr>
        <w:suppressAutoHyphens/>
        <w:spacing w:before="120"/>
        <w:ind w:left="360"/>
        <w:contextualSpacing/>
        <w:rPr>
          <w:b/>
        </w:rPr>
      </w:pPr>
      <w:r w:rsidRPr="008B7E87">
        <w:rPr>
          <w:b/>
        </w:rPr>
        <w:t>Do you agree with inclusion of the proposed WR1.4 Rationale addition as provided by Bonneville Power Administration (BPA) in Posting 4</w:t>
      </w:r>
      <w:r w:rsidR="001512EE">
        <w:rPr>
          <w:b/>
        </w:rPr>
        <w:t xml:space="preserve"> (and posted for comment in Posting 5)</w:t>
      </w:r>
      <w:r w:rsidRPr="008B7E87">
        <w:rPr>
          <w:b/>
        </w:rPr>
        <w:t>?</w:t>
      </w:r>
    </w:p>
    <w:tbl>
      <w:tblPr>
        <w:tblStyle w:val="WECCTable1"/>
        <w:tblW w:w="9849" w:type="dxa"/>
        <w:tblLook w:val="04A0" w:firstRow="1" w:lastRow="0" w:firstColumn="1" w:lastColumn="0" w:noHBand="0" w:noVBand="1"/>
      </w:tblPr>
      <w:tblGrid>
        <w:gridCol w:w="2766"/>
        <w:gridCol w:w="7083"/>
      </w:tblGrid>
      <w:tr w:rsidR="005B679F" w:rsidRPr="005B679F" w14:paraId="1C194E22" w14:textId="77777777" w:rsidTr="001E7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66" w:type="dxa"/>
          </w:tcPr>
          <w:p w14:paraId="35246A89" w14:textId="77777777" w:rsidR="005B679F" w:rsidRPr="00533CFD" w:rsidRDefault="005B679F" w:rsidP="009F163A">
            <w:pPr>
              <w:spacing w:line="240" w:lineRule="auto"/>
              <w:contextualSpacing/>
              <w:rPr>
                <w:rFonts w:asciiTheme="majorHAnsi" w:hAnsiTheme="majorHAnsi"/>
                <w:color w:val="auto"/>
              </w:rPr>
            </w:pPr>
            <w:r w:rsidRPr="00533CFD">
              <w:rPr>
                <w:rFonts w:asciiTheme="majorHAnsi" w:hAnsiTheme="majorHAnsi"/>
              </w:rPr>
              <w:t>Summary Consideration:</w:t>
            </w:r>
          </w:p>
        </w:tc>
        <w:tc>
          <w:tcPr>
            <w:tcW w:w="7083" w:type="dxa"/>
          </w:tcPr>
          <w:p w14:paraId="5117E0D6" w14:textId="7333BDFA" w:rsidR="00CF744E" w:rsidRPr="00533CFD" w:rsidRDefault="005B679F" w:rsidP="00C20BD8">
            <w:pPr>
              <w:spacing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533CFD">
              <w:rPr>
                <w:rFonts w:asciiTheme="majorHAnsi" w:hAnsiTheme="majorHAnsi"/>
              </w:rPr>
              <w:t>See summary in the preamble.</w:t>
            </w:r>
          </w:p>
        </w:tc>
      </w:tr>
      <w:tr w:rsidR="005B679F" w:rsidRPr="005B679F" w14:paraId="5DA9C467" w14:textId="77777777" w:rsidTr="008B7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66" w:type="dxa"/>
            <w:shd w:val="clear" w:color="auto" w:fill="005172"/>
          </w:tcPr>
          <w:p w14:paraId="11D72068" w14:textId="77777777" w:rsidR="005B679F" w:rsidRPr="00533CFD" w:rsidRDefault="005B679F" w:rsidP="009F163A">
            <w:pPr>
              <w:spacing w:line="240" w:lineRule="auto"/>
              <w:contextualSpacing/>
              <w:rPr>
                <w:b w:val="0"/>
                <w:bCs w:val="0"/>
                <w:color w:val="FFFFFF" w:themeColor="background2"/>
              </w:rPr>
            </w:pPr>
            <w:r w:rsidRPr="00533CFD">
              <w:rPr>
                <w:color w:val="FFFFFF" w:themeColor="background2"/>
              </w:rPr>
              <w:t>Commenter/Comment</w:t>
            </w:r>
          </w:p>
        </w:tc>
        <w:tc>
          <w:tcPr>
            <w:tcW w:w="7083" w:type="dxa"/>
            <w:shd w:val="clear" w:color="auto" w:fill="005172"/>
          </w:tcPr>
          <w:p w14:paraId="0502F626" w14:textId="77777777" w:rsidR="005B679F" w:rsidRPr="00533CFD" w:rsidRDefault="005B679F" w:rsidP="009F163A">
            <w:pPr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2"/>
              </w:rPr>
            </w:pPr>
            <w:r w:rsidRPr="00533CFD">
              <w:rPr>
                <w:color w:val="FFFFFF" w:themeColor="background2"/>
              </w:rPr>
              <w:t>Response</w:t>
            </w:r>
          </w:p>
        </w:tc>
      </w:tr>
      <w:tr w:rsidR="005B679F" w:rsidRPr="005B679F" w14:paraId="1C0CCBAD" w14:textId="77777777" w:rsidTr="008B7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  <w:tcBorders>
              <w:bottom w:val="single" w:sz="4" w:space="0" w:color="auto"/>
            </w:tcBorders>
          </w:tcPr>
          <w:p w14:paraId="54E090E3" w14:textId="56567CD7" w:rsidR="005B679F" w:rsidRPr="005B679F" w:rsidRDefault="008B7E87" w:rsidP="009F163A">
            <w:pPr>
              <w:spacing w:line="240" w:lineRule="auto"/>
              <w:contextualSpacing/>
              <w:rPr>
                <w:bCs w:val="0"/>
              </w:rPr>
            </w:pPr>
            <w:bookmarkStart w:id="4" w:name="_Hlk85536468"/>
            <w:r>
              <w:rPr>
                <w:bCs w:val="0"/>
              </w:rPr>
              <w:t>BC</w:t>
            </w:r>
          </w:p>
        </w:tc>
        <w:tc>
          <w:tcPr>
            <w:tcW w:w="7083" w:type="dxa"/>
            <w:tcBorders>
              <w:bottom w:val="single" w:sz="4" w:space="0" w:color="auto"/>
            </w:tcBorders>
          </w:tcPr>
          <w:p w14:paraId="059DD16C" w14:textId="4E8F51E9" w:rsidR="001F1BBC" w:rsidRDefault="00C708A2" w:rsidP="001E713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​</w:t>
            </w:r>
            <w:r w:rsidR="001F1BBC">
              <w:t>BC Hydro notes the addition in the Rationale section (under Requirement WR1.3 and WR1.4 subsection) of the following statement:</w:t>
            </w:r>
          </w:p>
          <w:p w14:paraId="1803DAD4" w14:textId="6B462E56" w:rsidR="001F1BBC" w:rsidRDefault="001F1BBC" w:rsidP="001E713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"For WR1.4, non-interruptible load loss initiated after voltage recovery above 80% is assumed to be due to subsequent voltage swings. Therefore, it is considered Non-Consequential Load Loss."</w:t>
            </w:r>
          </w:p>
          <w:p w14:paraId="6ED5A102" w14:textId="7E6C7926" w:rsidR="001F1BBC" w:rsidRDefault="001F1BBC" w:rsidP="001E713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appears inconsistent with the NERC Glossary of Terms definition of Non-Consequential Load Loss (NCLL), which excludes Loads that are (a) voltage sensitive or (b) tripped by end-user equipment. Also, this addition appears to set stricter voltage dip criteria than what is currently drafted under Requirements WR1.3 and WR1.4.</w:t>
            </w:r>
          </w:p>
          <w:p w14:paraId="7E0B8C28" w14:textId="6C6426AE" w:rsidR="005B679F" w:rsidRPr="005B679F" w:rsidRDefault="001F1BBC" w:rsidP="001E713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BC Hydro recommends removing the Posting 5 additions to the Technical Rationale's Requirement WR1.3 and WR1.4 subsection.</w:t>
            </w:r>
          </w:p>
        </w:tc>
      </w:tr>
      <w:bookmarkEnd w:id="4"/>
      <w:tr w:rsidR="007A400F" w:rsidRPr="005B679F" w14:paraId="172B6C22" w14:textId="77777777" w:rsidTr="008B7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9" w:type="dxa"/>
            <w:gridSpan w:val="2"/>
            <w:tcBorders>
              <w:right w:val="single" w:sz="4" w:space="0" w:color="auto"/>
            </w:tcBorders>
          </w:tcPr>
          <w:p w14:paraId="79F2C7F3" w14:textId="227093D4" w:rsidR="00B518D4" w:rsidRPr="001E713E" w:rsidRDefault="00C20BD8" w:rsidP="001E713E">
            <w:pPr>
              <w:spacing w:before="120"/>
              <w:rPr>
                <w:bCs w:val="0"/>
                <w:color w:val="005172"/>
              </w:rPr>
            </w:pPr>
            <w:r w:rsidRPr="001E713E">
              <w:rPr>
                <w:color w:val="005172"/>
              </w:rPr>
              <w:t xml:space="preserve">After considering </w:t>
            </w:r>
            <w:r w:rsidR="00B518D4" w:rsidRPr="001E713E">
              <w:rPr>
                <w:color w:val="005172"/>
              </w:rPr>
              <w:t xml:space="preserve">the </w:t>
            </w:r>
            <w:r w:rsidR="001512EE" w:rsidRPr="001E713E">
              <w:rPr>
                <w:color w:val="005172"/>
              </w:rPr>
              <w:t xml:space="preserve">three </w:t>
            </w:r>
            <w:r w:rsidR="00B518D4" w:rsidRPr="001E713E">
              <w:rPr>
                <w:color w:val="005172"/>
              </w:rPr>
              <w:t xml:space="preserve">comments </w:t>
            </w:r>
            <w:r w:rsidR="001512EE" w:rsidRPr="001E713E">
              <w:rPr>
                <w:color w:val="005172"/>
              </w:rPr>
              <w:t xml:space="preserve">received in Posting 5, </w:t>
            </w:r>
            <w:r w:rsidR="00B518D4" w:rsidRPr="001E713E">
              <w:rPr>
                <w:color w:val="005172"/>
              </w:rPr>
              <w:t>the DT opted to remove the WR1.4 Rationale language proposed in Posting 5.</w:t>
            </w:r>
            <w:r w:rsidR="002B0F9B" w:rsidRPr="001E713E">
              <w:rPr>
                <w:color w:val="005172"/>
              </w:rPr>
              <w:t xml:space="preserve"> </w:t>
            </w:r>
            <w:r w:rsidR="00220016" w:rsidRPr="001E713E">
              <w:rPr>
                <w:color w:val="005172"/>
              </w:rPr>
              <w:t xml:space="preserve">No other changes were made. </w:t>
            </w:r>
          </w:p>
          <w:p w14:paraId="298BBF07" w14:textId="53E3EA94" w:rsidR="001512EE" w:rsidRPr="001E713E" w:rsidRDefault="00B518D4" w:rsidP="001E713E">
            <w:pPr>
              <w:spacing w:before="120"/>
              <w:rPr>
                <w:bCs w:val="0"/>
                <w:color w:val="005172"/>
              </w:rPr>
            </w:pPr>
            <w:r w:rsidRPr="001E713E">
              <w:rPr>
                <w:color w:val="005172"/>
              </w:rPr>
              <w:t>Concerns were raised that the Rationale language could muddle implementation of Non-Consequential Load Loss as defined in the NERC Glossary of Terms Used in Reliability Standards.</w:t>
            </w:r>
          </w:p>
          <w:p w14:paraId="4858F13C" w14:textId="00082F9E" w:rsidR="00B518D4" w:rsidRPr="001E713E" w:rsidRDefault="00B518D4" w:rsidP="001E713E">
            <w:pPr>
              <w:spacing w:before="120"/>
              <w:rPr>
                <w:color w:val="005172"/>
              </w:rPr>
            </w:pPr>
            <w:r w:rsidRPr="001E713E">
              <w:rPr>
                <w:color w:val="005172"/>
              </w:rPr>
              <w:t>Restated, the proposed language may add more confusion than clarity</w:t>
            </w:r>
            <w:r w:rsidR="003D455A" w:rsidRPr="001E713E">
              <w:rPr>
                <w:color w:val="005172"/>
              </w:rPr>
              <w:t xml:space="preserve"> and may open t</w:t>
            </w:r>
            <w:r w:rsidR="00220016" w:rsidRPr="001E713E">
              <w:rPr>
                <w:color w:val="005172"/>
              </w:rPr>
              <w:t>he door to less consisten</w:t>
            </w:r>
            <w:r w:rsidR="001512EE" w:rsidRPr="001E713E">
              <w:rPr>
                <w:color w:val="005172"/>
              </w:rPr>
              <w:t xml:space="preserve">cy in implementing the </w:t>
            </w:r>
            <w:r w:rsidR="00220016" w:rsidRPr="001E713E">
              <w:rPr>
                <w:color w:val="005172"/>
              </w:rPr>
              <w:t>underlying requirement.</w:t>
            </w:r>
          </w:p>
        </w:tc>
      </w:tr>
      <w:tr w:rsidR="000B364E" w:rsidRPr="005B679F" w14:paraId="040BC32E" w14:textId="77777777" w:rsidTr="008B7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  <w:tcBorders>
              <w:bottom w:val="single" w:sz="4" w:space="0" w:color="auto"/>
            </w:tcBorders>
            <w:shd w:val="clear" w:color="auto" w:fill="auto"/>
          </w:tcPr>
          <w:p w14:paraId="070D473B" w14:textId="36530FE9" w:rsidR="000B364E" w:rsidRPr="005B679F" w:rsidRDefault="008B7E87" w:rsidP="001C7FB0">
            <w:pPr>
              <w:spacing w:line="240" w:lineRule="auto"/>
              <w:contextualSpacing/>
              <w:rPr>
                <w:bCs w:val="0"/>
              </w:rPr>
            </w:pPr>
            <w:bookmarkStart w:id="5" w:name="_Hlk99450641"/>
            <w:r>
              <w:rPr>
                <w:bCs w:val="0"/>
              </w:rPr>
              <w:t>APS</w:t>
            </w:r>
          </w:p>
        </w:tc>
        <w:tc>
          <w:tcPr>
            <w:tcW w:w="7083" w:type="dxa"/>
            <w:tcBorders>
              <w:bottom w:val="single" w:sz="4" w:space="0" w:color="auto"/>
            </w:tcBorders>
            <w:shd w:val="clear" w:color="auto" w:fill="auto"/>
          </w:tcPr>
          <w:p w14:paraId="37B3160D" w14:textId="69AB234E" w:rsidR="00855B6B" w:rsidRDefault="00855B6B" w:rsidP="001E713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AZPS is supportive of the addition of the below sentence but thinks that the use of a double negative within the sentence may cause confusion.</w:t>
            </w:r>
            <w:r w:rsidR="002B0F9B">
              <w:t xml:space="preserve"> </w:t>
            </w:r>
            <w:r>
              <w:t xml:space="preserve">AZPS recommends the following language: </w:t>
            </w:r>
          </w:p>
          <w:p w14:paraId="4158BB07" w14:textId="491AD25D" w:rsidR="000B364E" w:rsidRPr="0049639E" w:rsidRDefault="00855B6B" w:rsidP="001E713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"For all P1 through P7 events, non-interruptible load loss initiated before voltage recovery above 80% is assumed to be voltage sensitive load or tripped by end user equipment due to the fault event. Therefore, it is not precluded from being considered Non-Consequential Load Loss."</w:t>
            </w:r>
          </w:p>
        </w:tc>
      </w:tr>
      <w:tr w:rsidR="00DD5DCB" w:rsidRPr="00DD5DCB" w14:paraId="179B54D2" w14:textId="77777777" w:rsidTr="008B7E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9039C" w14:textId="6576449F" w:rsidR="003D455A" w:rsidRPr="001E713E" w:rsidRDefault="003D455A" w:rsidP="001E713E">
            <w:pPr>
              <w:spacing w:after="120"/>
              <w:rPr>
                <w:color w:val="005172"/>
              </w:rPr>
            </w:pPr>
            <w:r w:rsidRPr="001E713E">
              <w:rPr>
                <w:color w:val="005172"/>
              </w:rPr>
              <w:lastRenderedPageBreak/>
              <w:t>After considering the comments of all three respondents, the DT opted to remove the WR1.4 Rationale language proposed in Posting 5.</w:t>
            </w:r>
            <w:r w:rsidR="002B0F9B" w:rsidRPr="001E713E">
              <w:rPr>
                <w:color w:val="005172"/>
              </w:rPr>
              <w:t xml:space="preserve"> </w:t>
            </w:r>
            <w:r w:rsidRPr="001E713E">
              <w:rPr>
                <w:color w:val="005172"/>
              </w:rPr>
              <w:t xml:space="preserve">No other changes were made. </w:t>
            </w:r>
          </w:p>
          <w:p w14:paraId="2160BF65" w14:textId="6AEC4FB6" w:rsidR="00B94EAC" w:rsidRPr="00DD5DCB" w:rsidRDefault="003D455A" w:rsidP="001E713E">
            <w:pPr>
              <w:spacing w:after="120"/>
              <w:rPr>
                <w:color w:val="0070C0"/>
              </w:rPr>
            </w:pPr>
            <w:r w:rsidRPr="001E713E">
              <w:rPr>
                <w:color w:val="005172"/>
              </w:rPr>
              <w:t>The DT appreciates the remedial merit of the language proposed by APS; however, with the removal of the Posting 5 language remediation is no longer required.</w:t>
            </w:r>
          </w:p>
        </w:tc>
      </w:tr>
      <w:bookmarkEnd w:id="5"/>
      <w:tr w:rsidR="00855B6B" w:rsidRPr="005B679F" w14:paraId="65703700" w14:textId="77777777" w:rsidTr="003D0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  <w:tcBorders>
              <w:bottom w:val="single" w:sz="4" w:space="0" w:color="auto"/>
            </w:tcBorders>
            <w:shd w:val="clear" w:color="auto" w:fill="auto"/>
          </w:tcPr>
          <w:p w14:paraId="5F4F9579" w14:textId="2A784706" w:rsidR="00855B6B" w:rsidRPr="005B679F" w:rsidRDefault="004165AD" w:rsidP="003D07F6">
            <w:pPr>
              <w:spacing w:line="240" w:lineRule="auto"/>
              <w:contextualSpacing/>
              <w:rPr>
                <w:bCs w:val="0"/>
              </w:rPr>
            </w:pPr>
            <w:r>
              <w:rPr>
                <w:bCs w:val="0"/>
              </w:rPr>
              <w:t>BPA</w:t>
            </w:r>
          </w:p>
        </w:tc>
        <w:tc>
          <w:tcPr>
            <w:tcW w:w="7083" w:type="dxa"/>
            <w:tcBorders>
              <w:bottom w:val="single" w:sz="4" w:space="0" w:color="auto"/>
            </w:tcBorders>
            <w:shd w:val="clear" w:color="auto" w:fill="auto"/>
          </w:tcPr>
          <w:p w14:paraId="398604BA" w14:textId="1E33F505" w:rsidR="00855B6B" w:rsidRPr="0049639E" w:rsidRDefault="004165AD" w:rsidP="001E713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65AD">
              <w:t>Yes. ​BPA appreciates the Drafting Team's effort and the changes made based on comments submitted to Posting 5. Thank you.</w:t>
            </w:r>
          </w:p>
        </w:tc>
      </w:tr>
      <w:tr w:rsidR="00855B6B" w:rsidRPr="00DD5DCB" w14:paraId="5DFAAB52" w14:textId="77777777" w:rsidTr="003D07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D644" w14:textId="7553A281" w:rsidR="00855B6B" w:rsidRPr="001E713E" w:rsidRDefault="00D126E2" w:rsidP="001E713E">
            <w:pPr>
              <w:spacing w:after="120"/>
              <w:rPr>
                <w:color w:val="005172"/>
              </w:rPr>
            </w:pPr>
            <w:r w:rsidRPr="001E713E">
              <w:rPr>
                <w:color w:val="005172"/>
              </w:rPr>
              <w:t xml:space="preserve">The DT appreciates BPA’s continued involvement in the </w:t>
            </w:r>
            <w:r w:rsidR="003D455A" w:rsidRPr="001E713E">
              <w:rPr>
                <w:color w:val="005172"/>
              </w:rPr>
              <w:t xml:space="preserve">WECC Reliability Standards Development process. </w:t>
            </w:r>
          </w:p>
        </w:tc>
      </w:tr>
    </w:tbl>
    <w:p w14:paraId="7197D562" w14:textId="3BF69D66" w:rsidR="00D126E2" w:rsidRDefault="00D126E2" w:rsidP="00416F6B"/>
    <w:p w14:paraId="7F0137CE" w14:textId="77777777" w:rsidR="00D126E2" w:rsidRDefault="00D126E2">
      <w:r>
        <w:br w:type="page"/>
      </w:r>
    </w:p>
    <w:p w14:paraId="6EC173A4" w14:textId="771A2EA1" w:rsidR="001F1BBC" w:rsidRPr="001F1BBC" w:rsidRDefault="001F1BBC" w:rsidP="00343223">
      <w:pPr>
        <w:pStyle w:val="ListParagraph"/>
        <w:numPr>
          <w:ilvl w:val="0"/>
          <w:numId w:val="11"/>
        </w:numPr>
        <w:rPr>
          <w:b/>
        </w:rPr>
      </w:pPr>
      <w:r w:rsidRPr="001F1BBC">
        <w:rPr>
          <w:b/>
        </w:rPr>
        <w:lastRenderedPageBreak/>
        <w:t>If you disagree with including the proposed WR1.4 Rationale language, please explain your concerns and suggest a remedial course of action.</w:t>
      </w:r>
    </w:p>
    <w:tbl>
      <w:tblPr>
        <w:tblStyle w:val="WECCTable1"/>
        <w:tblW w:w="9849" w:type="dxa"/>
        <w:tblLook w:val="04A0" w:firstRow="1" w:lastRow="0" w:firstColumn="1" w:lastColumn="0" w:noHBand="0" w:noVBand="1"/>
      </w:tblPr>
      <w:tblGrid>
        <w:gridCol w:w="2395"/>
        <w:gridCol w:w="371"/>
        <w:gridCol w:w="7083"/>
      </w:tblGrid>
      <w:tr w:rsidR="001F1BBC" w:rsidRPr="005B679F" w14:paraId="5AD796B9" w14:textId="77777777" w:rsidTr="003D0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95" w:type="dxa"/>
          </w:tcPr>
          <w:p w14:paraId="0E7E49C6" w14:textId="77777777" w:rsidR="001F1BBC" w:rsidRPr="00533CFD" w:rsidRDefault="001F1BBC" w:rsidP="003D07F6">
            <w:pPr>
              <w:spacing w:line="240" w:lineRule="auto"/>
              <w:contextualSpacing/>
              <w:rPr>
                <w:rFonts w:asciiTheme="majorHAnsi" w:hAnsiTheme="majorHAnsi"/>
                <w:color w:val="auto"/>
              </w:rPr>
            </w:pPr>
            <w:r w:rsidRPr="00533CFD">
              <w:rPr>
                <w:rFonts w:asciiTheme="majorHAnsi" w:hAnsiTheme="majorHAnsi"/>
              </w:rPr>
              <w:t>Summary Consideration:</w:t>
            </w:r>
          </w:p>
        </w:tc>
        <w:tc>
          <w:tcPr>
            <w:tcW w:w="7454" w:type="dxa"/>
            <w:gridSpan w:val="2"/>
          </w:tcPr>
          <w:p w14:paraId="1DE0F9B0" w14:textId="77777777" w:rsidR="001F1BBC" w:rsidRPr="00533CFD" w:rsidRDefault="001F1BBC" w:rsidP="003D07F6">
            <w:pPr>
              <w:spacing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533CFD">
              <w:rPr>
                <w:rFonts w:asciiTheme="majorHAnsi" w:hAnsiTheme="majorHAnsi"/>
              </w:rPr>
              <w:t>See summary in the preamble.</w:t>
            </w:r>
          </w:p>
        </w:tc>
      </w:tr>
      <w:tr w:rsidR="001F1BBC" w:rsidRPr="005B679F" w14:paraId="5C438C66" w14:textId="77777777" w:rsidTr="003D0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66" w:type="dxa"/>
            <w:gridSpan w:val="2"/>
            <w:shd w:val="clear" w:color="auto" w:fill="005172"/>
          </w:tcPr>
          <w:p w14:paraId="1BBE237B" w14:textId="77777777" w:rsidR="001F1BBC" w:rsidRPr="00533CFD" w:rsidRDefault="001F1BBC" w:rsidP="003D07F6">
            <w:pPr>
              <w:spacing w:line="240" w:lineRule="auto"/>
              <w:contextualSpacing/>
              <w:rPr>
                <w:b w:val="0"/>
                <w:bCs w:val="0"/>
                <w:color w:val="FFFFFF" w:themeColor="background2"/>
              </w:rPr>
            </w:pPr>
            <w:r w:rsidRPr="00533CFD">
              <w:rPr>
                <w:color w:val="FFFFFF" w:themeColor="background2"/>
              </w:rPr>
              <w:t>Commenter/Comment</w:t>
            </w:r>
          </w:p>
        </w:tc>
        <w:tc>
          <w:tcPr>
            <w:tcW w:w="7083" w:type="dxa"/>
            <w:shd w:val="clear" w:color="auto" w:fill="005172"/>
          </w:tcPr>
          <w:p w14:paraId="6863EB37" w14:textId="77777777" w:rsidR="001F1BBC" w:rsidRPr="00533CFD" w:rsidRDefault="001F1BBC" w:rsidP="003D07F6">
            <w:pPr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2"/>
              </w:rPr>
            </w:pPr>
            <w:r w:rsidRPr="00533CFD">
              <w:rPr>
                <w:color w:val="FFFFFF" w:themeColor="background2"/>
              </w:rPr>
              <w:t>Response</w:t>
            </w:r>
          </w:p>
        </w:tc>
      </w:tr>
      <w:tr w:rsidR="001F1BBC" w:rsidRPr="005B679F" w14:paraId="5542D819" w14:textId="77777777" w:rsidTr="003D0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  <w:gridSpan w:val="2"/>
            <w:tcBorders>
              <w:bottom w:val="single" w:sz="4" w:space="0" w:color="auto"/>
            </w:tcBorders>
          </w:tcPr>
          <w:p w14:paraId="266E02B8" w14:textId="77777777" w:rsidR="001F1BBC" w:rsidRPr="005B679F" w:rsidRDefault="001F1BBC" w:rsidP="003D07F6">
            <w:pPr>
              <w:spacing w:line="240" w:lineRule="auto"/>
              <w:contextualSpacing/>
              <w:rPr>
                <w:bCs w:val="0"/>
              </w:rPr>
            </w:pPr>
            <w:r>
              <w:rPr>
                <w:bCs w:val="0"/>
              </w:rPr>
              <w:t>BC</w:t>
            </w:r>
          </w:p>
        </w:tc>
        <w:tc>
          <w:tcPr>
            <w:tcW w:w="7083" w:type="dxa"/>
            <w:tcBorders>
              <w:bottom w:val="single" w:sz="4" w:space="0" w:color="auto"/>
            </w:tcBorders>
          </w:tcPr>
          <w:p w14:paraId="44BD1511" w14:textId="05336713" w:rsidR="001F1BBC" w:rsidRDefault="001F1BBC" w:rsidP="000268B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​</w:t>
            </w:r>
            <w:r w:rsidR="00D126E2">
              <w:t>T</w:t>
            </w:r>
            <w:r>
              <w:t>he addition to the Rationale section appears inconsistent with the NERC Glossary of Terms definition of Non-Consequential Load Loss (NCLL), which excludes Loads that are (a) voltage sensitive or (b) tripped by end-user equipment. Also, this addition appears to set stricter voltage dip criteria than what is currently drafted under Requirements WR1.3 and WR1.4.</w:t>
            </w:r>
          </w:p>
          <w:p w14:paraId="656B0244" w14:textId="24DE10C2" w:rsidR="001F1BBC" w:rsidRPr="005B679F" w:rsidRDefault="001F1BBC" w:rsidP="000268B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BC Hydro recommends removing the Posting 5 additions to the Technical Rationale's Requirement WR1.3 and WR1.4 subsection.</w:t>
            </w:r>
          </w:p>
        </w:tc>
      </w:tr>
      <w:tr w:rsidR="001F1BBC" w:rsidRPr="005B679F" w14:paraId="5ADA7279" w14:textId="77777777" w:rsidTr="003D07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9" w:type="dxa"/>
            <w:gridSpan w:val="3"/>
            <w:tcBorders>
              <w:right w:val="single" w:sz="4" w:space="0" w:color="auto"/>
            </w:tcBorders>
          </w:tcPr>
          <w:p w14:paraId="0069186B" w14:textId="4D76D380" w:rsidR="001F1BBC" w:rsidRPr="000268B4" w:rsidRDefault="00D126E2" w:rsidP="000268B4">
            <w:pPr>
              <w:spacing w:after="120"/>
              <w:rPr>
                <w:color w:val="005172"/>
              </w:rPr>
            </w:pPr>
            <w:r w:rsidRPr="000268B4">
              <w:rPr>
                <w:color w:val="005172"/>
              </w:rPr>
              <w:t>Please see the above response to BC</w:t>
            </w:r>
            <w:r w:rsidR="007F44E5" w:rsidRPr="000268B4">
              <w:rPr>
                <w:color w:val="005172"/>
              </w:rPr>
              <w:t xml:space="preserve"> and APS</w:t>
            </w:r>
            <w:r w:rsidRPr="000268B4">
              <w:rPr>
                <w:color w:val="005172"/>
              </w:rPr>
              <w:t xml:space="preserve">. </w:t>
            </w:r>
          </w:p>
        </w:tc>
      </w:tr>
      <w:tr w:rsidR="001F1BBC" w:rsidRPr="005B679F" w14:paraId="08661B71" w14:textId="77777777" w:rsidTr="003D0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666F3E" w14:textId="77777777" w:rsidR="001F1BBC" w:rsidRPr="005B679F" w:rsidRDefault="001F1BBC" w:rsidP="003D07F6">
            <w:pPr>
              <w:spacing w:line="240" w:lineRule="auto"/>
              <w:contextualSpacing/>
              <w:rPr>
                <w:bCs w:val="0"/>
              </w:rPr>
            </w:pPr>
            <w:r>
              <w:rPr>
                <w:bCs w:val="0"/>
              </w:rPr>
              <w:t>APS</w:t>
            </w:r>
          </w:p>
        </w:tc>
        <w:tc>
          <w:tcPr>
            <w:tcW w:w="7083" w:type="dxa"/>
            <w:tcBorders>
              <w:bottom w:val="single" w:sz="4" w:space="0" w:color="auto"/>
            </w:tcBorders>
            <w:shd w:val="clear" w:color="auto" w:fill="auto"/>
          </w:tcPr>
          <w:p w14:paraId="474146F9" w14:textId="2005F92E" w:rsidR="00855B6B" w:rsidRDefault="00855B6B" w:rsidP="000268B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AZPS does not agree with the inclusion of the following sentence contained within the WR1.4 Rationale: </w:t>
            </w:r>
          </w:p>
          <w:p w14:paraId="4E0ACFCB" w14:textId="203512CF" w:rsidR="00855B6B" w:rsidRDefault="00855B6B" w:rsidP="000268B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"For WR1.4, non-interruptible load loss initiated after voltage recovery above 80% is assumed to be due to subsequent voltage swings. Therefore, it is considered Non-Consequential Load Loss."</w:t>
            </w:r>
          </w:p>
          <w:p w14:paraId="1B430351" w14:textId="2F1F5269" w:rsidR="00855B6B" w:rsidRDefault="00855B6B" w:rsidP="000268B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AZPS believes this language is too prescriptive and recommends removing it for the following reason:</w:t>
            </w:r>
            <w:r w:rsidR="002B0F9B">
              <w:t xml:space="preserve"> </w:t>
            </w:r>
          </w:p>
          <w:p w14:paraId="39C652E0" w14:textId="74E308DF" w:rsidR="001F1BBC" w:rsidRPr="0049639E" w:rsidRDefault="00855B6B" w:rsidP="000268B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addition of the above sentence creates the potential for an entity to meet WR1.4 criteria yet fail to comply with TPL-001-4 Requirements. The intent of avoiding unacceptable power swings, as desired by WR1.4, is to avoid non-consequential load loss that might occur after voltage recovery above 80%. This rationale suggests that acceptable voltage recovery as per WR 1.4 might involve non-consequential load loss that must now be identified as unacceptable performance under TPL-001 Requirements. For instance, at a given BES bus serving load, if after initial voltage recovery to 80 %, load loss of very sensitive load occurs but is still within the criteria spelled out in WR1.4, labelling that as non-consequential load loss would trigger a TPL-001 violation.</w:t>
            </w:r>
          </w:p>
        </w:tc>
      </w:tr>
      <w:tr w:rsidR="001F1BBC" w:rsidRPr="00DD5DCB" w14:paraId="7BC8A5AA" w14:textId="77777777" w:rsidTr="003D07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7D24" w14:textId="267ADE4D" w:rsidR="001F1BBC" w:rsidRPr="000268B4" w:rsidRDefault="007F44E5" w:rsidP="000268B4">
            <w:pPr>
              <w:spacing w:after="120"/>
              <w:rPr>
                <w:color w:val="005172"/>
              </w:rPr>
            </w:pPr>
            <w:r w:rsidRPr="000268B4">
              <w:rPr>
                <w:color w:val="005172"/>
              </w:rPr>
              <w:t>Please see the above response to BC and APS.</w:t>
            </w:r>
          </w:p>
        </w:tc>
      </w:tr>
      <w:tr w:rsidR="004165AD" w:rsidRPr="005B679F" w14:paraId="5CC6962F" w14:textId="77777777" w:rsidTr="003D0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AA25EA" w14:textId="77777777" w:rsidR="004165AD" w:rsidRPr="005B679F" w:rsidRDefault="004165AD" w:rsidP="003D07F6">
            <w:pPr>
              <w:spacing w:line="240" w:lineRule="auto"/>
              <w:contextualSpacing/>
              <w:rPr>
                <w:bCs w:val="0"/>
              </w:rPr>
            </w:pPr>
            <w:r>
              <w:rPr>
                <w:bCs w:val="0"/>
              </w:rPr>
              <w:t>BPA</w:t>
            </w:r>
          </w:p>
        </w:tc>
        <w:tc>
          <w:tcPr>
            <w:tcW w:w="7083" w:type="dxa"/>
            <w:tcBorders>
              <w:bottom w:val="single" w:sz="4" w:space="0" w:color="auto"/>
            </w:tcBorders>
            <w:shd w:val="clear" w:color="auto" w:fill="auto"/>
          </w:tcPr>
          <w:p w14:paraId="427D522E" w14:textId="77777777" w:rsidR="004165AD" w:rsidRPr="0049639E" w:rsidRDefault="004165AD" w:rsidP="00D126E2">
            <w:pPr>
              <w:tabs>
                <w:tab w:val="left" w:pos="2692"/>
                <w:tab w:val="left" w:pos="4599"/>
              </w:tabs>
              <w:spacing w:line="240" w:lineRule="auto"/>
              <w:ind w:left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</w:t>
            </w:r>
          </w:p>
        </w:tc>
      </w:tr>
      <w:tr w:rsidR="004165AD" w:rsidRPr="005B679F" w14:paraId="48C824AE" w14:textId="77777777" w:rsidTr="003D07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7C835B" w14:textId="240D5810" w:rsidR="004165AD" w:rsidRPr="000268B4" w:rsidRDefault="00D126E2" w:rsidP="000268B4">
            <w:pPr>
              <w:spacing w:after="120"/>
              <w:rPr>
                <w:color w:val="005172"/>
              </w:rPr>
            </w:pPr>
            <w:r w:rsidRPr="000268B4">
              <w:rPr>
                <w:color w:val="005172"/>
              </w:rPr>
              <w:lastRenderedPageBreak/>
              <w:t>The DT appreciates BPA’s continued involvement in the development of this and other WECC Criteria.</w:t>
            </w:r>
          </w:p>
        </w:tc>
      </w:tr>
    </w:tbl>
    <w:p w14:paraId="4756F9FF" w14:textId="5E25DB36" w:rsidR="001F1BBC" w:rsidRDefault="001F1BBC" w:rsidP="00416F6B"/>
    <w:p w14:paraId="3A18210F" w14:textId="77777777" w:rsidR="001F1BBC" w:rsidRPr="001F1BBC" w:rsidRDefault="001F1BBC" w:rsidP="001F1BBC">
      <w:pPr>
        <w:pStyle w:val="ListParagraph"/>
        <w:numPr>
          <w:ilvl w:val="0"/>
          <w:numId w:val="11"/>
        </w:numPr>
        <w:rPr>
          <w:b/>
        </w:rPr>
      </w:pPr>
      <w:r w:rsidRPr="001F1BBC">
        <w:rPr>
          <w:b/>
        </w:rPr>
        <w:t>The Drafting Team welcomes comments on all aspects of the document.</w:t>
      </w:r>
    </w:p>
    <w:tbl>
      <w:tblPr>
        <w:tblStyle w:val="WECCTable1"/>
        <w:tblW w:w="9849" w:type="dxa"/>
        <w:tblLook w:val="04A0" w:firstRow="1" w:lastRow="0" w:firstColumn="1" w:lastColumn="0" w:noHBand="0" w:noVBand="1"/>
      </w:tblPr>
      <w:tblGrid>
        <w:gridCol w:w="2395"/>
        <w:gridCol w:w="371"/>
        <w:gridCol w:w="7083"/>
      </w:tblGrid>
      <w:tr w:rsidR="001F1BBC" w:rsidRPr="005B679F" w14:paraId="5C8846D7" w14:textId="77777777" w:rsidTr="003D0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95" w:type="dxa"/>
          </w:tcPr>
          <w:p w14:paraId="4D93F3B6" w14:textId="77777777" w:rsidR="001F1BBC" w:rsidRPr="00533CFD" w:rsidRDefault="001F1BBC" w:rsidP="003D07F6">
            <w:pPr>
              <w:spacing w:line="240" w:lineRule="auto"/>
              <w:contextualSpacing/>
              <w:rPr>
                <w:rFonts w:asciiTheme="majorHAnsi" w:hAnsiTheme="majorHAnsi"/>
                <w:color w:val="auto"/>
              </w:rPr>
            </w:pPr>
            <w:r w:rsidRPr="00533CFD">
              <w:rPr>
                <w:rFonts w:asciiTheme="majorHAnsi" w:hAnsiTheme="majorHAnsi"/>
              </w:rPr>
              <w:t>Summary Consideration:</w:t>
            </w:r>
          </w:p>
        </w:tc>
        <w:tc>
          <w:tcPr>
            <w:tcW w:w="7454" w:type="dxa"/>
            <w:gridSpan w:val="2"/>
          </w:tcPr>
          <w:p w14:paraId="3FF95D97" w14:textId="77777777" w:rsidR="001F1BBC" w:rsidRPr="00533CFD" w:rsidRDefault="001F1BBC" w:rsidP="003D07F6">
            <w:pPr>
              <w:spacing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533CFD">
              <w:rPr>
                <w:rFonts w:asciiTheme="majorHAnsi" w:hAnsiTheme="majorHAnsi"/>
              </w:rPr>
              <w:t>See summary in the preamble.</w:t>
            </w:r>
          </w:p>
        </w:tc>
      </w:tr>
      <w:tr w:rsidR="001F1BBC" w:rsidRPr="005B679F" w14:paraId="47F4C6AB" w14:textId="77777777" w:rsidTr="003D0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66" w:type="dxa"/>
            <w:gridSpan w:val="2"/>
            <w:shd w:val="clear" w:color="auto" w:fill="005172"/>
          </w:tcPr>
          <w:p w14:paraId="73128FE7" w14:textId="77777777" w:rsidR="001F1BBC" w:rsidRPr="00533CFD" w:rsidRDefault="001F1BBC" w:rsidP="003D07F6">
            <w:pPr>
              <w:spacing w:line="240" w:lineRule="auto"/>
              <w:contextualSpacing/>
              <w:rPr>
                <w:b w:val="0"/>
                <w:bCs w:val="0"/>
                <w:color w:val="FFFFFF" w:themeColor="background2"/>
              </w:rPr>
            </w:pPr>
            <w:r w:rsidRPr="00533CFD">
              <w:rPr>
                <w:color w:val="FFFFFF" w:themeColor="background2"/>
              </w:rPr>
              <w:t>Commenter/Comment</w:t>
            </w:r>
          </w:p>
        </w:tc>
        <w:tc>
          <w:tcPr>
            <w:tcW w:w="7083" w:type="dxa"/>
            <w:shd w:val="clear" w:color="auto" w:fill="005172"/>
          </w:tcPr>
          <w:p w14:paraId="2A277D0B" w14:textId="77777777" w:rsidR="001F1BBC" w:rsidRPr="00533CFD" w:rsidRDefault="001F1BBC" w:rsidP="003D07F6">
            <w:pPr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2"/>
              </w:rPr>
            </w:pPr>
            <w:r w:rsidRPr="00533CFD">
              <w:rPr>
                <w:color w:val="FFFFFF" w:themeColor="background2"/>
              </w:rPr>
              <w:t>Response</w:t>
            </w:r>
          </w:p>
        </w:tc>
      </w:tr>
      <w:tr w:rsidR="001F1BBC" w:rsidRPr="005B679F" w14:paraId="24501B52" w14:textId="77777777" w:rsidTr="003D0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  <w:gridSpan w:val="2"/>
            <w:tcBorders>
              <w:bottom w:val="single" w:sz="4" w:space="0" w:color="auto"/>
            </w:tcBorders>
          </w:tcPr>
          <w:p w14:paraId="14766664" w14:textId="77777777" w:rsidR="001F1BBC" w:rsidRPr="005B679F" w:rsidRDefault="001F1BBC" w:rsidP="000268B4">
            <w:pPr>
              <w:spacing w:after="120"/>
            </w:pPr>
            <w:r>
              <w:t>BC</w:t>
            </w:r>
          </w:p>
        </w:tc>
        <w:tc>
          <w:tcPr>
            <w:tcW w:w="7083" w:type="dxa"/>
            <w:tcBorders>
              <w:bottom w:val="single" w:sz="4" w:space="0" w:color="auto"/>
            </w:tcBorders>
          </w:tcPr>
          <w:p w14:paraId="1D42BCC2" w14:textId="290B391D" w:rsidR="001F1BBC" w:rsidRPr="005B679F" w:rsidRDefault="001F1BBC" w:rsidP="000268B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​NA</w:t>
            </w:r>
          </w:p>
        </w:tc>
      </w:tr>
      <w:tr w:rsidR="001F1BBC" w:rsidRPr="005B679F" w14:paraId="77617DC8" w14:textId="77777777" w:rsidTr="003D07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9" w:type="dxa"/>
            <w:gridSpan w:val="3"/>
            <w:tcBorders>
              <w:right w:val="single" w:sz="4" w:space="0" w:color="auto"/>
            </w:tcBorders>
          </w:tcPr>
          <w:p w14:paraId="3034DF26" w14:textId="53CEFB13" w:rsidR="001F1BBC" w:rsidRPr="000268B4" w:rsidRDefault="003D4E9D" w:rsidP="000268B4">
            <w:pPr>
              <w:spacing w:after="120"/>
              <w:rPr>
                <w:color w:val="005172"/>
              </w:rPr>
            </w:pPr>
            <w:r w:rsidRPr="000268B4">
              <w:rPr>
                <w:color w:val="005172"/>
              </w:rPr>
              <w:t>The DT appreciates BC’s continued involvement in the development of this and other WECC Criteria.</w:t>
            </w:r>
          </w:p>
        </w:tc>
      </w:tr>
      <w:tr w:rsidR="001F1BBC" w:rsidRPr="005B679F" w14:paraId="4A754F25" w14:textId="77777777" w:rsidTr="003D0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235EB5" w14:textId="77777777" w:rsidR="001F1BBC" w:rsidRPr="005B679F" w:rsidRDefault="001F1BBC" w:rsidP="000268B4">
            <w:pPr>
              <w:spacing w:after="120"/>
            </w:pPr>
            <w:bookmarkStart w:id="6" w:name="_Hlk109722606"/>
            <w:bookmarkStart w:id="7" w:name="_Hlk109722591"/>
            <w:r>
              <w:t>APS</w:t>
            </w:r>
          </w:p>
        </w:tc>
        <w:tc>
          <w:tcPr>
            <w:tcW w:w="7083" w:type="dxa"/>
            <w:tcBorders>
              <w:bottom w:val="single" w:sz="4" w:space="0" w:color="auto"/>
            </w:tcBorders>
            <w:shd w:val="clear" w:color="auto" w:fill="auto"/>
          </w:tcPr>
          <w:p w14:paraId="51F54C19" w14:textId="3B02CB09" w:rsidR="001F1BBC" w:rsidRPr="0049639E" w:rsidRDefault="00855B6B" w:rsidP="000268B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</w:t>
            </w:r>
          </w:p>
        </w:tc>
      </w:tr>
      <w:bookmarkEnd w:id="6"/>
      <w:tr w:rsidR="001F1BBC" w:rsidRPr="00DD5DCB" w14:paraId="30461BE7" w14:textId="77777777" w:rsidTr="003D07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2625" w14:textId="441D7052" w:rsidR="001F1BBC" w:rsidRPr="000268B4" w:rsidRDefault="003D4E9D" w:rsidP="000268B4">
            <w:pPr>
              <w:spacing w:after="120"/>
              <w:rPr>
                <w:color w:val="005172"/>
              </w:rPr>
            </w:pPr>
            <w:r w:rsidRPr="000268B4">
              <w:rPr>
                <w:color w:val="005172"/>
              </w:rPr>
              <w:t>The DT appreciates APS’ continued involvement in the development of this and other WECC Criteria.</w:t>
            </w:r>
          </w:p>
        </w:tc>
      </w:tr>
      <w:tr w:rsidR="00855B6B" w:rsidRPr="005B679F" w14:paraId="1607F2ED" w14:textId="77777777" w:rsidTr="003D0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3219F8" w14:textId="46046020" w:rsidR="00855B6B" w:rsidRPr="005B679F" w:rsidRDefault="004165AD" w:rsidP="000268B4">
            <w:pPr>
              <w:spacing w:after="120"/>
            </w:pPr>
            <w:bookmarkStart w:id="8" w:name="_Hlk109722656"/>
            <w:bookmarkStart w:id="9" w:name="_Hlk109722888"/>
            <w:bookmarkEnd w:id="7"/>
            <w:r>
              <w:t>BPA</w:t>
            </w:r>
          </w:p>
        </w:tc>
        <w:tc>
          <w:tcPr>
            <w:tcW w:w="7083" w:type="dxa"/>
            <w:tcBorders>
              <w:bottom w:val="single" w:sz="4" w:space="0" w:color="auto"/>
            </w:tcBorders>
            <w:shd w:val="clear" w:color="auto" w:fill="auto"/>
          </w:tcPr>
          <w:p w14:paraId="081B2FDD" w14:textId="77777777" w:rsidR="00855B6B" w:rsidRPr="0049639E" w:rsidRDefault="00855B6B" w:rsidP="000268B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</w:t>
            </w:r>
          </w:p>
        </w:tc>
      </w:tr>
      <w:bookmarkEnd w:id="8"/>
      <w:tr w:rsidR="00855B6B" w:rsidRPr="005B679F" w14:paraId="4E3F3DBD" w14:textId="77777777" w:rsidTr="00F266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61CE9B8" w14:textId="0AC347D5" w:rsidR="00855B6B" w:rsidRPr="000268B4" w:rsidRDefault="003D4E9D" w:rsidP="000268B4">
            <w:pPr>
              <w:spacing w:after="120"/>
              <w:rPr>
                <w:color w:val="005172"/>
              </w:rPr>
            </w:pPr>
            <w:r w:rsidRPr="000268B4">
              <w:rPr>
                <w:color w:val="005172"/>
              </w:rPr>
              <w:t>The DT appreciates BPA’s continued involvement in the development of this and other WECC Criteria.</w:t>
            </w:r>
          </w:p>
        </w:tc>
      </w:tr>
      <w:bookmarkEnd w:id="9"/>
    </w:tbl>
    <w:p w14:paraId="6D579522" w14:textId="7D3934C6" w:rsidR="001F1BBC" w:rsidRDefault="001F1BBC" w:rsidP="00416F6B"/>
    <w:p w14:paraId="0B063013" w14:textId="77777777" w:rsidR="001F1BBC" w:rsidRDefault="001F1BBC" w:rsidP="00416F6B"/>
    <w:p w14:paraId="427BD81D" w14:textId="77777777" w:rsidR="001F1BBC" w:rsidRDefault="001F1BBC"/>
    <w:sectPr w:rsidR="001F1BBC" w:rsidSect="00E605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61637" w14:textId="77777777" w:rsidR="00AE0D43" w:rsidRDefault="00AE0D43" w:rsidP="00E60569">
      <w:r>
        <w:separator/>
      </w:r>
    </w:p>
    <w:p w14:paraId="2DFF2B07" w14:textId="77777777" w:rsidR="00AE0D43" w:rsidRDefault="00AE0D43" w:rsidP="00E60569"/>
  </w:endnote>
  <w:endnote w:type="continuationSeparator" w:id="0">
    <w:p w14:paraId="0FBDC7D1" w14:textId="77777777" w:rsidR="00AE0D43" w:rsidRDefault="00AE0D43" w:rsidP="00E60569">
      <w:r>
        <w:continuationSeparator/>
      </w:r>
    </w:p>
    <w:p w14:paraId="7EA76215" w14:textId="77777777" w:rsidR="00AE0D43" w:rsidRDefault="00AE0D43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7DD9" w14:textId="77777777" w:rsidR="00112017" w:rsidRDefault="001120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49292C7A" w14:textId="77777777" w:rsidR="00415F11" w:rsidRPr="00E5288E" w:rsidRDefault="00415F11" w:rsidP="00E60569">
        <w:pPr>
          <w:pStyle w:val="Footer"/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11D5E73F" wp14:editId="56151A14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Pr="009B19EE">
          <w:rPr>
            <w:b w:val="0"/>
            <w:noProof w:val="0"/>
            <w:sz w:val="22"/>
          </w:rPr>
          <w:fldChar w:fldCharType="begin"/>
        </w:r>
        <w:r w:rsidRPr="009B19EE">
          <w:rPr>
            <w:b w:val="0"/>
            <w:sz w:val="22"/>
          </w:rPr>
          <w:instrText xml:space="preserve"> PAGE   \* MERGEFORMAT </w:instrText>
        </w:r>
        <w:r w:rsidRPr="009B19EE">
          <w:rPr>
            <w:b w:val="0"/>
            <w:noProof w:val="0"/>
            <w:sz w:val="22"/>
          </w:rPr>
          <w:fldChar w:fldCharType="separate"/>
        </w:r>
        <w:r>
          <w:rPr>
            <w:b w:val="0"/>
            <w:sz w:val="22"/>
          </w:rPr>
          <w:t>5</w:t>
        </w:r>
        <w:r w:rsidRPr="009B19EE">
          <w:rPr>
            <w:b w:val="0"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2BD8" w14:textId="77777777" w:rsidR="00415F11" w:rsidRPr="00E5288E" w:rsidRDefault="00415F11" w:rsidP="00E60569">
    <w:pPr>
      <w:pStyle w:val="Footer"/>
      <w:rPr>
        <w:sz w:val="22"/>
      </w:rPr>
    </w:pPr>
    <w:r w:rsidRPr="00E5288E">
      <w:rPr>
        <w:sz w:val="22"/>
      </w:rPr>
      <mc:AlternateContent>
        <mc:Choice Requires="wps">
          <w:drawing>
            <wp:inline distT="0" distB="0" distL="0" distR="0" wp14:anchorId="66ACA964" wp14:editId="08EB5206">
              <wp:extent cx="6400800" cy="523875"/>
              <wp:effectExtent l="0" t="0" r="0" b="9525"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523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A50647" w14:textId="77777777" w:rsidR="00415F11" w:rsidRPr="00E5288E" w:rsidRDefault="00415F11" w:rsidP="00E60569">
                          <w:pPr>
                            <w:pStyle w:val="FooterPG1"/>
                            <w:rPr>
                              <w:sz w:val="22"/>
                            </w:rPr>
                          </w:pPr>
                          <w:r w:rsidRPr="00E5288E">
                            <w:rPr>
                              <w:sz w:val="22"/>
                            </w:rPr>
                            <w:t>155 North 400 West | Suite 200 | Salt Lake City, Utah 84103</w:t>
                          </w:r>
                          <w:r w:rsidRPr="00E5288E">
                            <w:rPr>
                              <w:sz w:val="22"/>
                            </w:rPr>
                            <w:br/>
                            <w:t>www.wecc.org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6ACA964" id="Rectangle 30" o:spid="_x0000_s1026" style="width:7in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" fillcolor="#00395d [3204]" stroked="f" strokeweight="2pt">
              <v:textbox>
                <w:txbxContent>
                  <w:p w14:paraId="42A50647" w14:textId="77777777" w:rsidR="00415F11" w:rsidRPr="00E5288E" w:rsidRDefault="00415F11" w:rsidP="00E60569">
                    <w:pPr>
                      <w:pStyle w:val="FooterPG1"/>
                      <w:rPr>
                        <w:sz w:val="22"/>
                      </w:rPr>
                    </w:pPr>
                    <w:r w:rsidRPr="00E5288E">
                      <w:rPr>
                        <w:sz w:val="22"/>
                      </w:rPr>
                      <w:t>155 North 400 West | Suite 200 | Salt Lake City, Utah 84103</w:t>
                    </w:r>
                    <w:r w:rsidRPr="00E5288E">
                      <w:rPr>
                        <w:sz w:val="22"/>
                      </w:rPr>
                      <w:br/>
                      <w:t>www.wecc.org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C7159" w14:textId="77777777" w:rsidR="00AE0D43" w:rsidRDefault="00AE0D43" w:rsidP="0053685B">
      <w:pPr>
        <w:pStyle w:val="FootnoteText"/>
      </w:pPr>
      <w:r>
        <w:separator/>
      </w:r>
    </w:p>
  </w:footnote>
  <w:footnote w:type="continuationSeparator" w:id="0">
    <w:p w14:paraId="0772C444" w14:textId="77777777" w:rsidR="00AE0D43" w:rsidRDefault="00AE0D43" w:rsidP="00E60569">
      <w:r>
        <w:continuationSeparator/>
      </w:r>
    </w:p>
    <w:p w14:paraId="58E0266A" w14:textId="77777777" w:rsidR="00AE0D43" w:rsidRDefault="00AE0D43" w:rsidP="00E60569"/>
  </w:footnote>
  <w:footnote w:id="1">
    <w:p w14:paraId="547DE4F6" w14:textId="423F090D" w:rsidR="002C0B4D" w:rsidRPr="002C0B4D" w:rsidRDefault="002C0B4D" w:rsidP="002C0B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1" w:name="_Hlk106263007"/>
      <w:bookmarkStart w:id="2" w:name="_Hlk106269957"/>
      <w:r>
        <w:t xml:space="preserve">Posting 5 language: </w:t>
      </w:r>
      <w:r w:rsidRPr="002C0B4D">
        <w:t>“For all P1 through P7 events, non-interruptible load loss initiated before voltage recovery above 80% is assumed to be voltage sensitive load or tripped by end user equipment due to the fault event. Therefore, it is not considered Non-Consequential Load Loss.</w:t>
      </w:r>
    </w:p>
    <w:p w14:paraId="3723E56A" w14:textId="2315DCA7" w:rsidR="002C0B4D" w:rsidRDefault="002C0B4D">
      <w:pPr>
        <w:pStyle w:val="FootnoteText"/>
      </w:pPr>
      <w:r w:rsidRPr="002C0B4D">
        <w:t>For WR1.4, non-interruptible load loss initiated after voltage recovery above 80% is assumed to be due to subsequent voltage swings. Therefore, it is considered Non-Consequential Load Loss.</w:t>
      </w:r>
      <w:bookmarkEnd w:id="1"/>
      <w:r w:rsidRPr="002C0B4D">
        <w:t>”</w:t>
      </w:r>
      <w:bookmarkEnd w:id="2"/>
    </w:p>
  </w:footnote>
  <w:footnote w:id="2">
    <w:p w14:paraId="5730A0AE" w14:textId="3B79245E" w:rsidR="00F84051" w:rsidRDefault="00F840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84051">
        <w:t>Non-Interruptible Load loss that does not include: (1) Consequential Load Loss, (2) the response of voltage sensitive Load, or (3) Load that is disconnected from the System by end-user</w:t>
      </w:r>
      <w:r>
        <w:t xml:space="preserve"> equipment.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A04B" w14:textId="77777777" w:rsidR="00415F11" w:rsidRDefault="00000000">
    <w:pPr>
      <w:pStyle w:val="Header"/>
    </w:pPr>
    <w:r>
      <w:rPr>
        <w:noProof/>
      </w:rPr>
      <w:pict w14:anchorId="3F610A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877626" o:spid="_x0000_s1033" type="#_x0000_t136" style="position:absolute;left:0;text-align:left;margin-left:0;margin-top:0;width:597.25pt;height:113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Final from Tec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04D6" w14:textId="0132B492" w:rsidR="00415F11" w:rsidRPr="00E5288E" w:rsidRDefault="00000000" w:rsidP="00E60569">
    <w:pPr>
      <w:pStyle w:val="Header"/>
      <w:rPr>
        <w:sz w:val="22"/>
      </w:rPr>
    </w:pPr>
    <w:r>
      <w:rPr>
        <w:noProof/>
      </w:rPr>
      <w:pict w14:anchorId="08CBE9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877627" o:spid="_x0000_s1034" type="#_x0000_t136" style="position:absolute;left:0;text-align:left;margin-left:0;margin-top:0;width:597.25pt;height:113.3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Final from Tech"/>
          <w10:wrap anchorx="margin" anchory="margin"/>
        </v:shape>
      </w:pict>
    </w:r>
    <w:r w:rsidR="00415F11">
      <w:rPr>
        <w:sz w:val="22"/>
      </w:rPr>
      <w:t xml:space="preserve">WECC-0146 Response to Comments Posting </w:t>
    </w:r>
    <w:r w:rsidR="007511E4">
      <w:rPr>
        <w:sz w:val="2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A081" w14:textId="77777777" w:rsidR="00415F11" w:rsidRDefault="00000000" w:rsidP="00FD6572">
    <w:pPr>
      <w:pStyle w:val="Header"/>
    </w:pPr>
    <w:r>
      <w:rPr>
        <w:noProof/>
      </w:rPr>
      <w:pict w14:anchorId="029641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877625" o:spid="_x0000_s1032" type="#_x0000_t136" style="position:absolute;left:0;text-align:left;margin-left:0;margin-top:0;width:597.25pt;height:113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Final from Tech"/>
          <w10:wrap anchorx="margin" anchory="margin"/>
        </v:shape>
      </w:pict>
    </w:r>
    <w:r w:rsidR="00415F11">
      <w:rPr>
        <w:noProof/>
      </w:rPr>
      <w:drawing>
        <wp:anchor distT="0" distB="0" distL="114300" distR="114300" simplePos="0" relativeHeight="251658240" behindDoc="1" locked="0" layoutInCell="1" allowOverlap="1" wp14:anchorId="596D6C42" wp14:editId="55DEFD6A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4257" w14:textId="3D9D8851" w:rsidR="00415F11" w:rsidRDefault="00415F11" w:rsidP="00833E1A">
    <w:pPr>
      <w:pStyle w:val="Header"/>
      <w:rPr>
        <w:bCs/>
      </w:rPr>
    </w:pPr>
    <w:bookmarkStart w:id="10" w:name="_Hlk23152673"/>
    <w:r w:rsidRPr="00833E1A">
      <w:rPr>
        <w:bCs/>
      </w:rPr>
      <w:t>WECC-0146 TPL-001-WECC-CRT-</w:t>
    </w:r>
    <w:r w:rsidR="00603AC2">
      <w:rPr>
        <w:bCs/>
      </w:rPr>
      <w:t>4</w:t>
    </w:r>
    <w:r w:rsidRPr="00833E1A">
      <w:rPr>
        <w:bCs/>
      </w:rPr>
      <w:t xml:space="preserve"> Transmission System Planning Performance</w:t>
    </w:r>
  </w:p>
  <w:bookmarkEnd w:id="10"/>
  <w:p w14:paraId="5B44D666" w14:textId="158C9C14" w:rsidR="00415F11" w:rsidRDefault="00415F11" w:rsidP="00FD6572">
    <w:pPr>
      <w:pStyle w:val="Header"/>
      <w:contextualSpacing w:val="0"/>
    </w:pPr>
    <w:r>
      <w:t>Response to Comments Posting</w:t>
    </w:r>
    <w:r w:rsidR="00603AC2">
      <w:t xml:space="preserve"> </w:t>
    </w:r>
    <w:r w:rsidR="007511E4">
      <w:t>5</w:t>
    </w:r>
    <w:r w:rsidR="00603AC2">
      <w:t xml:space="preserve"> </w:t>
    </w:r>
  </w:p>
  <w:p w14:paraId="7AE1FC3D" w14:textId="73117B8F" w:rsidR="00415F11" w:rsidRPr="00761FA8" w:rsidRDefault="007511E4" w:rsidP="00FD6572">
    <w:pPr>
      <w:pStyle w:val="Header"/>
      <w:contextualSpacing w:val="0"/>
    </w:pPr>
    <w:r>
      <w:t>June 24</w:t>
    </w:r>
    <w:r w:rsidR="00415F11">
      <w:t>–</w:t>
    </w:r>
    <w:r>
      <w:t>July 25,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4DA"/>
    <w:multiLevelType w:val="multilevel"/>
    <w:tmpl w:val="36D6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B2585"/>
    <w:multiLevelType w:val="multilevel"/>
    <w:tmpl w:val="36D4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E25F9"/>
    <w:multiLevelType w:val="hybridMultilevel"/>
    <w:tmpl w:val="E1344C1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9E41D63"/>
    <w:multiLevelType w:val="multilevel"/>
    <w:tmpl w:val="0C100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F6564"/>
    <w:multiLevelType w:val="multilevel"/>
    <w:tmpl w:val="FFDC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81072"/>
    <w:multiLevelType w:val="hybridMultilevel"/>
    <w:tmpl w:val="E9F04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11CED"/>
    <w:multiLevelType w:val="hybridMultilevel"/>
    <w:tmpl w:val="D0DC484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20728"/>
    <w:multiLevelType w:val="hybridMultilevel"/>
    <w:tmpl w:val="DFF09602"/>
    <w:lvl w:ilvl="0" w:tplc="3B300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D6D16"/>
    <w:multiLevelType w:val="multilevel"/>
    <w:tmpl w:val="592E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704893"/>
    <w:multiLevelType w:val="hybridMultilevel"/>
    <w:tmpl w:val="F892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53F51"/>
    <w:multiLevelType w:val="hybridMultilevel"/>
    <w:tmpl w:val="DBB8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37020"/>
    <w:multiLevelType w:val="multilevel"/>
    <w:tmpl w:val="B3D0D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D6F83"/>
    <w:multiLevelType w:val="hybridMultilevel"/>
    <w:tmpl w:val="9DF4243A"/>
    <w:lvl w:ilvl="0" w:tplc="28BE7472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F6E66"/>
    <w:multiLevelType w:val="multilevel"/>
    <w:tmpl w:val="7CF68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40AB2CE6"/>
    <w:multiLevelType w:val="hybridMultilevel"/>
    <w:tmpl w:val="A836C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467E5"/>
    <w:multiLevelType w:val="hybridMultilevel"/>
    <w:tmpl w:val="D9728B2C"/>
    <w:lvl w:ilvl="0" w:tplc="99609F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85A93"/>
    <w:multiLevelType w:val="hybridMultilevel"/>
    <w:tmpl w:val="EE2A8796"/>
    <w:lvl w:ilvl="0" w:tplc="EEFAA7D2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14EBB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50F4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E48BC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B8FFD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2A569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DE902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2979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9ACE3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907135"/>
    <w:multiLevelType w:val="hybridMultilevel"/>
    <w:tmpl w:val="4A864706"/>
    <w:lvl w:ilvl="0" w:tplc="8F8C5A4A">
      <w:start w:val="1"/>
      <w:numFmt w:val="decimal"/>
      <w:lvlText w:val="%1)"/>
      <w:lvlJc w:val="left"/>
      <w:pPr>
        <w:ind w:left="720" w:hanging="360"/>
      </w:pPr>
      <w:rPr>
        <w:rFonts w:hint="default"/>
        <w:color w:val="3D58A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16938"/>
    <w:multiLevelType w:val="hybridMultilevel"/>
    <w:tmpl w:val="C68CA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A505FB"/>
    <w:multiLevelType w:val="multilevel"/>
    <w:tmpl w:val="495E3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4" w15:restartNumberingAfterBreak="0">
    <w:nsid w:val="63B141AE"/>
    <w:multiLevelType w:val="multilevel"/>
    <w:tmpl w:val="36D4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962115"/>
    <w:multiLevelType w:val="hybridMultilevel"/>
    <w:tmpl w:val="93F6D90C"/>
    <w:lvl w:ilvl="0" w:tplc="638A0FF8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BEE34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24799C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9222D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A4E2F8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2A1DAC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10ABAC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3457EE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2EF99C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B23E17"/>
    <w:multiLevelType w:val="hybridMultilevel"/>
    <w:tmpl w:val="6CD6CE16"/>
    <w:lvl w:ilvl="0" w:tplc="92263B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62925"/>
    <w:multiLevelType w:val="hybridMultilevel"/>
    <w:tmpl w:val="21866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29" w15:restartNumberingAfterBreak="0">
    <w:nsid w:val="6E421954"/>
    <w:multiLevelType w:val="hybridMultilevel"/>
    <w:tmpl w:val="024EA2A0"/>
    <w:lvl w:ilvl="0" w:tplc="257C690A">
      <w:start w:val="2"/>
      <w:numFmt w:val="bullet"/>
      <w:lvlText w:val="-"/>
      <w:lvlJc w:val="left"/>
      <w:pPr>
        <w:ind w:left="411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30" w15:restartNumberingAfterBreak="0">
    <w:nsid w:val="6EB7442B"/>
    <w:multiLevelType w:val="multilevel"/>
    <w:tmpl w:val="DD5A6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11333E"/>
    <w:multiLevelType w:val="multilevel"/>
    <w:tmpl w:val="0C1A8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A5445"/>
    <w:multiLevelType w:val="multilevel"/>
    <w:tmpl w:val="6460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1496979">
    <w:abstractNumId w:val="33"/>
  </w:num>
  <w:num w:numId="2" w16cid:durableId="1177960432">
    <w:abstractNumId w:val="20"/>
  </w:num>
  <w:num w:numId="3" w16cid:durableId="521669450">
    <w:abstractNumId w:val="7"/>
  </w:num>
  <w:num w:numId="4" w16cid:durableId="483206628">
    <w:abstractNumId w:val="13"/>
  </w:num>
  <w:num w:numId="5" w16cid:durableId="554510798">
    <w:abstractNumId w:val="34"/>
  </w:num>
  <w:num w:numId="6" w16cid:durableId="1321688232">
    <w:abstractNumId w:val="15"/>
  </w:num>
  <w:num w:numId="7" w16cid:durableId="209266651">
    <w:abstractNumId w:val="32"/>
  </w:num>
  <w:num w:numId="8" w16cid:durableId="966928669">
    <w:abstractNumId w:val="23"/>
  </w:num>
  <w:num w:numId="9" w16cid:durableId="1338924452">
    <w:abstractNumId w:val="28"/>
  </w:num>
  <w:num w:numId="10" w16cid:durableId="805316872">
    <w:abstractNumId w:val="14"/>
  </w:num>
  <w:num w:numId="11" w16cid:durableId="226184330">
    <w:abstractNumId w:val="14"/>
    <w:lvlOverride w:ilvl="0">
      <w:startOverride w:val="1"/>
    </w:lvlOverride>
  </w:num>
  <w:num w:numId="12" w16cid:durableId="1791315250">
    <w:abstractNumId w:val="16"/>
  </w:num>
  <w:num w:numId="13" w16cid:durableId="568536832">
    <w:abstractNumId w:val="10"/>
  </w:num>
  <w:num w:numId="14" w16cid:durableId="1646662591">
    <w:abstractNumId w:val="31"/>
  </w:num>
  <w:num w:numId="15" w16cid:durableId="759646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8438047">
    <w:abstractNumId w:val="3"/>
  </w:num>
  <w:num w:numId="17" w16cid:durableId="1350832979">
    <w:abstractNumId w:val="22"/>
  </w:num>
  <w:num w:numId="18" w16cid:durableId="661155404">
    <w:abstractNumId w:val="9"/>
  </w:num>
  <w:num w:numId="19" w16cid:durableId="1272667832">
    <w:abstractNumId w:val="12"/>
  </w:num>
  <w:num w:numId="20" w16cid:durableId="2062241761">
    <w:abstractNumId w:val="35"/>
  </w:num>
  <w:num w:numId="21" w16cid:durableId="219757655">
    <w:abstractNumId w:val="30"/>
  </w:num>
  <w:num w:numId="22" w16cid:durableId="1029332241">
    <w:abstractNumId w:val="14"/>
    <w:lvlOverride w:ilvl="0">
      <w:startOverride w:val="1"/>
    </w:lvlOverride>
  </w:num>
  <w:num w:numId="23" w16cid:durableId="1674651572">
    <w:abstractNumId w:val="1"/>
  </w:num>
  <w:num w:numId="24" w16cid:durableId="1710295484">
    <w:abstractNumId w:val="4"/>
  </w:num>
  <w:num w:numId="25" w16cid:durableId="2090233009">
    <w:abstractNumId w:val="24"/>
  </w:num>
  <w:num w:numId="26" w16cid:durableId="1132481264">
    <w:abstractNumId w:val="2"/>
  </w:num>
  <w:num w:numId="27" w16cid:durableId="784426402">
    <w:abstractNumId w:val="19"/>
  </w:num>
  <w:num w:numId="28" w16cid:durableId="374240380">
    <w:abstractNumId w:val="11"/>
  </w:num>
  <w:num w:numId="29" w16cid:durableId="1774281196">
    <w:abstractNumId w:val="6"/>
  </w:num>
  <w:num w:numId="30" w16cid:durableId="1482697852">
    <w:abstractNumId w:val="21"/>
  </w:num>
  <w:num w:numId="31" w16cid:durableId="1487123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37162188">
    <w:abstractNumId w:val="5"/>
  </w:num>
  <w:num w:numId="33" w16cid:durableId="931860970">
    <w:abstractNumId w:val="18"/>
  </w:num>
  <w:num w:numId="34" w16cid:durableId="778839556">
    <w:abstractNumId w:val="25"/>
  </w:num>
  <w:num w:numId="35" w16cid:durableId="1188760995">
    <w:abstractNumId w:val="29"/>
  </w:num>
  <w:num w:numId="36" w16cid:durableId="1680083605">
    <w:abstractNumId w:val="8"/>
  </w:num>
  <w:num w:numId="37" w16cid:durableId="882710290">
    <w:abstractNumId w:val="17"/>
  </w:num>
  <w:num w:numId="38" w16cid:durableId="47147033">
    <w:abstractNumId w:val="26"/>
  </w:num>
  <w:num w:numId="39" w16cid:durableId="9785321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defaultTableStyle w:val="WECCTable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zMzc0NzQzNbI0NTdX0lEKTi0uzszPAykwrAUAKQBTniwAAAA="/>
  </w:docVars>
  <w:rsids>
    <w:rsidRoot w:val="0053685B"/>
    <w:rsid w:val="0000557C"/>
    <w:rsid w:val="00012FEE"/>
    <w:rsid w:val="00017C30"/>
    <w:rsid w:val="00023A2F"/>
    <w:rsid w:val="000268B4"/>
    <w:rsid w:val="00033171"/>
    <w:rsid w:val="00035493"/>
    <w:rsid w:val="000373A1"/>
    <w:rsid w:val="0004659E"/>
    <w:rsid w:val="000544F0"/>
    <w:rsid w:val="00060803"/>
    <w:rsid w:val="000625C8"/>
    <w:rsid w:val="00064067"/>
    <w:rsid w:val="0006553B"/>
    <w:rsid w:val="00071D3D"/>
    <w:rsid w:val="00071F78"/>
    <w:rsid w:val="000733F6"/>
    <w:rsid w:val="00077FA9"/>
    <w:rsid w:val="000833A8"/>
    <w:rsid w:val="00090829"/>
    <w:rsid w:val="00091311"/>
    <w:rsid w:val="00092CB5"/>
    <w:rsid w:val="00096702"/>
    <w:rsid w:val="000A1755"/>
    <w:rsid w:val="000A4DDD"/>
    <w:rsid w:val="000A7509"/>
    <w:rsid w:val="000B360E"/>
    <w:rsid w:val="000B364E"/>
    <w:rsid w:val="000D56D6"/>
    <w:rsid w:val="000D63FA"/>
    <w:rsid w:val="000D7344"/>
    <w:rsid w:val="000E3160"/>
    <w:rsid w:val="000F614E"/>
    <w:rsid w:val="0010153E"/>
    <w:rsid w:val="00104AE7"/>
    <w:rsid w:val="00112017"/>
    <w:rsid w:val="0011358A"/>
    <w:rsid w:val="001208EE"/>
    <w:rsid w:val="0012474D"/>
    <w:rsid w:val="001329AD"/>
    <w:rsid w:val="00135654"/>
    <w:rsid w:val="00143454"/>
    <w:rsid w:val="001469BB"/>
    <w:rsid w:val="001512EE"/>
    <w:rsid w:val="001636D2"/>
    <w:rsid w:val="00171A03"/>
    <w:rsid w:val="00185D80"/>
    <w:rsid w:val="001864C5"/>
    <w:rsid w:val="001A6A21"/>
    <w:rsid w:val="001B5EEC"/>
    <w:rsid w:val="001B7CE9"/>
    <w:rsid w:val="001C2248"/>
    <w:rsid w:val="001C497F"/>
    <w:rsid w:val="001C530B"/>
    <w:rsid w:val="001C7E2D"/>
    <w:rsid w:val="001E12D2"/>
    <w:rsid w:val="001E1B6F"/>
    <w:rsid w:val="001E561E"/>
    <w:rsid w:val="001E713E"/>
    <w:rsid w:val="001F1BBC"/>
    <w:rsid w:val="001F3FA9"/>
    <w:rsid w:val="001F739D"/>
    <w:rsid w:val="00203374"/>
    <w:rsid w:val="00206057"/>
    <w:rsid w:val="00220016"/>
    <w:rsid w:val="002201AF"/>
    <w:rsid w:val="0022514A"/>
    <w:rsid w:val="002267AC"/>
    <w:rsid w:val="00233175"/>
    <w:rsid w:val="00233E12"/>
    <w:rsid w:val="0024031F"/>
    <w:rsid w:val="002425F0"/>
    <w:rsid w:val="002460EF"/>
    <w:rsid w:val="00262429"/>
    <w:rsid w:val="002634B4"/>
    <w:rsid w:val="00263D03"/>
    <w:rsid w:val="00270172"/>
    <w:rsid w:val="002750A4"/>
    <w:rsid w:val="002779B8"/>
    <w:rsid w:val="002804E5"/>
    <w:rsid w:val="00290615"/>
    <w:rsid w:val="002A0884"/>
    <w:rsid w:val="002A6673"/>
    <w:rsid w:val="002B0F9B"/>
    <w:rsid w:val="002B4DA5"/>
    <w:rsid w:val="002C0B4D"/>
    <w:rsid w:val="002C1AB2"/>
    <w:rsid w:val="002C439B"/>
    <w:rsid w:val="002D79C5"/>
    <w:rsid w:val="002E1330"/>
    <w:rsid w:val="00307CFC"/>
    <w:rsid w:val="00322E28"/>
    <w:rsid w:val="00323BC9"/>
    <w:rsid w:val="00324BF2"/>
    <w:rsid w:val="00325D2C"/>
    <w:rsid w:val="0034465D"/>
    <w:rsid w:val="00352EC0"/>
    <w:rsid w:val="0036314F"/>
    <w:rsid w:val="0036534C"/>
    <w:rsid w:val="00370BF3"/>
    <w:rsid w:val="00371F31"/>
    <w:rsid w:val="00373E5B"/>
    <w:rsid w:val="003802FB"/>
    <w:rsid w:val="003826D4"/>
    <w:rsid w:val="00383C9E"/>
    <w:rsid w:val="003A001E"/>
    <w:rsid w:val="003A079E"/>
    <w:rsid w:val="003A1E3E"/>
    <w:rsid w:val="003A1EB3"/>
    <w:rsid w:val="003A5038"/>
    <w:rsid w:val="003B7782"/>
    <w:rsid w:val="003D2CA0"/>
    <w:rsid w:val="003D455A"/>
    <w:rsid w:val="003D4E9D"/>
    <w:rsid w:val="003D767B"/>
    <w:rsid w:val="003E1973"/>
    <w:rsid w:val="003E5939"/>
    <w:rsid w:val="003F3940"/>
    <w:rsid w:val="003F4AD9"/>
    <w:rsid w:val="003F7D87"/>
    <w:rsid w:val="00411EBC"/>
    <w:rsid w:val="00415F11"/>
    <w:rsid w:val="00416333"/>
    <w:rsid w:val="004165AD"/>
    <w:rsid w:val="00416F6B"/>
    <w:rsid w:val="0043738A"/>
    <w:rsid w:val="00454D47"/>
    <w:rsid w:val="004578CE"/>
    <w:rsid w:val="00466D5C"/>
    <w:rsid w:val="00473124"/>
    <w:rsid w:val="004804B2"/>
    <w:rsid w:val="00480865"/>
    <w:rsid w:val="00482E65"/>
    <w:rsid w:val="00483713"/>
    <w:rsid w:val="00494F89"/>
    <w:rsid w:val="0049639E"/>
    <w:rsid w:val="004A0BC8"/>
    <w:rsid w:val="004A5A5A"/>
    <w:rsid w:val="004A61E0"/>
    <w:rsid w:val="004B393E"/>
    <w:rsid w:val="004C1B4D"/>
    <w:rsid w:val="004D1F97"/>
    <w:rsid w:val="004E3D0A"/>
    <w:rsid w:val="004E7D99"/>
    <w:rsid w:val="004F352F"/>
    <w:rsid w:val="00504175"/>
    <w:rsid w:val="00504559"/>
    <w:rsid w:val="00504EEE"/>
    <w:rsid w:val="0050729A"/>
    <w:rsid w:val="00507DC5"/>
    <w:rsid w:val="005144DB"/>
    <w:rsid w:val="00516DBC"/>
    <w:rsid w:val="00523296"/>
    <w:rsid w:val="00533CFD"/>
    <w:rsid w:val="0053685B"/>
    <w:rsid w:val="00550DB3"/>
    <w:rsid w:val="0056149A"/>
    <w:rsid w:val="0056364C"/>
    <w:rsid w:val="00571E4F"/>
    <w:rsid w:val="00574CF9"/>
    <w:rsid w:val="005852D5"/>
    <w:rsid w:val="00591600"/>
    <w:rsid w:val="00591960"/>
    <w:rsid w:val="00597BEB"/>
    <w:rsid w:val="005A2805"/>
    <w:rsid w:val="005A289B"/>
    <w:rsid w:val="005A48F3"/>
    <w:rsid w:val="005A673C"/>
    <w:rsid w:val="005A728A"/>
    <w:rsid w:val="005B075B"/>
    <w:rsid w:val="005B679F"/>
    <w:rsid w:val="005C16EF"/>
    <w:rsid w:val="005C7F62"/>
    <w:rsid w:val="005D2FE6"/>
    <w:rsid w:val="005D7F49"/>
    <w:rsid w:val="005E461E"/>
    <w:rsid w:val="005E7AB7"/>
    <w:rsid w:val="005F5FB9"/>
    <w:rsid w:val="005F7350"/>
    <w:rsid w:val="006001CA"/>
    <w:rsid w:val="00603AC2"/>
    <w:rsid w:val="00603CB7"/>
    <w:rsid w:val="0061413B"/>
    <w:rsid w:val="00617889"/>
    <w:rsid w:val="0062691A"/>
    <w:rsid w:val="00633476"/>
    <w:rsid w:val="00636BEB"/>
    <w:rsid w:val="00647577"/>
    <w:rsid w:val="006501CE"/>
    <w:rsid w:val="006550D8"/>
    <w:rsid w:val="006633E0"/>
    <w:rsid w:val="00672A0E"/>
    <w:rsid w:val="00673614"/>
    <w:rsid w:val="0068547F"/>
    <w:rsid w:val="006946CE"/>
    <w:rsid w:val="006A10DF"/>
    <w:rsid w:val="006A143D"/>
    <w:rsid w:val="006A6A7B"/>
    <w:rsid w:val="006B2A25"/>
    <w:rsid w:val="006C0A2C"/>
    <w:rsid w:val="006E6397"/>
    <w:rsid w:val="006F6E46"/>
    <w:rsid w:val="00706A70"/>
    <w:rsid w:val="007130D6"/>
    <w:rsid w:val="00716BCC"/>
    <w:rsid w:val="007176F3"/>
    <w:rsid w:val="00721EE8"/>
    <w:rsid w:val="007342C5"/>
    <w:rsid w:val="0073777A"/>
    <w:rsid w:val="0074040B"/>
    <w:rsid w:val="00741A49"/>
    <w:rsid w:val="007511E4"/>
    <w:rsid w:val="00761FA8"/>
    <w:rsid w:val="00762499"/>
    <w:rsid w:val="00765CED"/>
    <w:rsid w:val="00773161"/>
    <w:rsid w:val="00777338"/>
    <w:rsid w:val="00782755"/>
    <w:rsid w:val="00790B1F"/>
    <w:rsid w:val="00795B5F"/>
    <w:rsid w:val="00796944"/>
    <w:rsid w:val="007A400F"/>
    <w:rsid w:val="007A46E1"/>
    <w:rsid w:val="007A64C7"/>
    <w:rsid w:val="007B2D74"/>
    <w:rsid w:val="007B3DEE"/>
    <w:rsid w:val="007B7D2E"/>
    <w:rsid w:val="007C1F04"/>
    <w:rsid w:val="007D10F7"/>
    <w:rsid w:val="007D236B"/>
    <w:rsid w:val="007D2436"/>
    <w:rsid w:val="007E0446"/>
    <w:rsid w:val="007E11F2"/>
    <w:rsid w:val="007E3A44"/>
    <w:rsid w:val="007F2A93"/>
    <w:rsid w:val="007F44E5"/>
    <w:rsid w:val="0080492E"/>
    <w:rsid w:val="00804B5D"/>
    <w:rsid w:val="008110DF"/>
    <w:rsid w:val="00813C43"/>
    <w:rsid w:val="008150B2"/>
    <w:rsid w:val="008161B2"/>
    <w:rsid w:val="008279AC"/>
    <w:rsid w:val="0083062F"/>
    <w:rsid w:val="00833E1A"/>
    <w:rsid w:val="008356DA"/>
    <w:rsid w:val="0084086C"/>
    <w:rsid w:val="00843E7D"/>
    <w:rsid w:val="008446F5"/>
    <w:rsid w:val="008453E1"/>
    <w:rsid w:val="00855B6B"/>
    <w:rsid w:val="008569D3"/>
    <w:rsid w:val="008575F4"/>
    <w:rsid w:val="00864C89"/>
    <w:rsid w:val="00871FD3"/>
    <w:rsid w:val="00874BBC"/>
    <w:rsid w:val="00891439"/>
    <w:rsid w:val="008A57E3"/>
    <w:rsid w:val="008B1F42"/>
    <w:rsid w:val="008B4DD7"/>
    <w:rsid w:val="008B6516"/>
    <w:rsid w:val="008B7E87"/>
    <w:rsid w:val="008C2815"/>
    <w:rsid w:val="008D34AA"/>
    <w:rsid w:val="008D7432"/>
    <w:rsid w:val="008E2D28"/>
    <w:rsid w:val="008E7488"/>
    <w:rsid w:val="008E7FEE"/>
    <w:rsid w:val="008F0248"/>
    <w:rsid w:val="008F14B2"/>
    <w:rsid w:val="008F3E53"/>
    <w:rsid w:val="009033AC"/>
    <w:rsid w:val="00913528"/>
    <w:rsid w:val="00914794"/>
    <w:rsid w:val="00917197"/>
    <w:rsid w:val="00931844"/>
    <w:rsid w:val="0094025E"/>
    <w:rsid w:val="00945920"/>
    <w:rsid w:val="00953D87"/>
    <w:rsid w:val="00955581"/>
    <w:rsid w:val="009619AE"/>
    <w:rsid w:val="00965469"/>
    <w:rsid w:val="0096709D"/>
    <w:rsid w:val="00973BFC"/>
    <w:rsid w:val="00973DB0"/>
    <w:rsid w:val="009760A9"/>
    <w:rsid w:val="00977C61"/>
    <w:rsid w:val="009A4894"/>
    <w:rsid w:val="009A4D48"/>
    <w:rsid w:val="009B08C4"/>
    <w:rsid w:val="009B19EE"/>
    <w:rsid w:val="009B37B4"/>
    <w:rsid w:val="009C1A37"/>
    <w:rsid w:val="009E040B"/>
    <w:rsid w:val="009E1D07"/>
    <w:rsid w:val="009F163A"/>
    <w:rsid w:val="009F509D"/>
    <w:rsid w:val="009F530F"/>
    <w:rsid w:val="009F5663"/>
    <w:rsid w:val="00A1463B"/>
    <w:rsid w:val="00A231E9"/>
    <w:rsid w:val="00A25B0B"/>
    <w:rsid w:val="00A27E3A"/>
    <w:rsid w:val="00A323FE"/>
    <w:rsid w:val="00A32B37"/>
    <w:rsid w:val="00A454BF"/>
    <w:rsid w:val="00A50731"/>
    <w:rsid w:val="00A55FDC"/>
    <w:rsid w:val="00A574EB"/>
    <w:rsid w:val="00A80B6E"/>
    <w:rsid w:val="00A9036D"/>
    <w:rsid w:val="00A90E43"/>
    <w:rsid w:val="00A928D5"/>
    <w:rsid w:val="00AA28B5"/>
    <w:rsid w:val="00AA4836"/>
    <w:rsid w:val="00AA7261"/>
    <w:rsid w:val="00AB67FE"/>
    <w:rsid w:val="00AD06CB"/>
    <w:rsid w:val="00AD06D5"/>
    <w:rsid w:val="00AD1A1C"/>
    <w:rsid w:val="00AE0D43"/>
    <w:rsid w:val="00AE4F6F"/>
    <w:rsid w:val="00AF4182"/>
    <w:rsid w:val="00B0700F"/>
    <w:rsid w:val="00B076C7"/>
    <w:rsid w:val="00B1133D"/>
    <w:rsid w:val="00B14047"/>
    <w:rsid w:val="00B14107"/>
    <w:rsid w:val="00B1669F"/>
    <w:rsid w:val="00B17C66"/>
    <w:rsid w:val="00B24F85"/>
    <w:rsid w:val="00B327DC"/>
    <w:rsid w:val="00B34663"/>
    <w:rsid w:val="00B3575F"/>
    <w:rsid w:val="00B35E63"/>
    <w:rsid w:val="00B41360"/>
    <w:rsid w:val="00B41D6B"/>
    <w:rsid w:val="00B437B5"/>
    <w:rsid w:val="00B44DA8"/>
    <w:rsid w:val="00B45011"/>
    <w:rsid w:val="00B518D4"/>
    <w:rsid w:val="00B52279"/>
    <w:rsid w:val="00B52F24"/>
    <w:rsid w:val="00B5418D"/>
    <w:rsid w:val="00B5595C"/>
    <w:rsid w:val="00B6235E"/>
    <w:rsid w:val="00B75012"/>
    <w:rsid w:val="00B76561"/>
    <w:rsid w:val="00B77317"/>
    <w:rsid w:val="00B94EAC"/>
    <w:rsid w:val="00B96569"/>
    <w:rsid w:val="00BA7DBE"/>
    <w:rsid w:val="00BA7E4F"/>
    <w:rsid w:val="00BB63D7"/>
    <w:rsid w:val="00BC0795"/>
    <w:rsid w:val="00BD47CC"/>
    <w:rsid w:val="00BF2037"/>
    <w:rsid w:val="00BF4481"/>
    <w:rsid w:val="00BF5265"/>
    <w:rsid w:val="00BF653F"/>
    <w:rsid w:val="00BF79BD"/>
    <w:rsid w:val="00C05765"/>
    <w:rsid w:val="00C10053"/>
    <w:rsid w:val="00C132E2"/>
    <w:rsid w:val="00C15211"/>
    <w:rsid w:val="00C2045F"/>
    <w:rsid w:val="00C20BD8"/>
    <w:rsid w:val="00C22CF7"/>
    <w:rsid w:val="00C23325"/>
    <w:rsid w:val="00C24770"/>
    <w:rsid w:val="00C27BD9"/>
    <w:rsid w:val="00C31688"/>
    <w:rsid w:val="00C36A03"/>
    <w:rsid w:val="00C40AE9"/>
    <w:rsid w:val="00C51B37"/>
    <w:rsid w:val="00C53718"/>
    <w:rsid w:val="00C547A9"/>
    <w:rsid w:val="00C60FB0"/>
    <w:rsid w:val="00C65FA8"/>
    <w:rsid w:val="00C66DC1"/>
    <w:rsid w:val="00C708A2"/>
    <w:rsid w:val="00C70D36"/>
    <w:rsid w:val="00C77307"/>
    <w:rsid w:val="00C87902"/>
    <w:rsid w:val="00CA16E0"/>
    <w:rsid w:val="00CB06A5"/>
    <w:rsid w:val="00CC0C76"/>
    <w:rsid w:val="00CD26FD"/>
    <w:rsid w:val="00CD2804"/>
    <w:rsid w:val="00CD2870"/>
    <w:rsid w:val="00CD52F7"/>
    <w:rsid w:val="00CE5459"/>
    <w:rsid w:val="00CE5DA7"/>
    <w:rsid w:val="00CF744E"/>
    <w:rsid w:val="00CF774D"/>
    <w:rsid w:val="00D01FB6"/>
    <w:rsid w:val="00D02E36"/>
    <w:rsid w:val="00D043E3"/>
    <w:rsid w:val="00D07301"/>
    <w:rsid w:val="00D10167"/>
    <w:rsid w:val="00D103FF"/>
    <w:rsid w:val="00D126E2"/>
    <w:rsid w:val="00D12784"/>
    <w:rsid w:val="00D20CB7"/>
    <w:rsid w:val="00D25CEC"/>
    <w:rsid w:val="00D26DF2"/>
    <w:rsid w:val="00D318C0"/>
    <w:rsid w:val="00D32A48"/>
    <w:rsid w:val="00D334D6"/>
    <w:rsid w:val="00D47B2D"/>
    <w:rsid w:val="00D524F1"/>
    <w:rsid w:val="00D66C70"/>
    <w:rsid w:val="00D674A7"/>
    <w:rsid w:val="00D7193F"/>
    <w:rsid w:val="00D71A5B"/>
    <w:rsid w:val="00D73B92"/>
    <w:rsid w:val="00D768E9"/>
    <w:rsid w:val="00D83860"/>
    <w:rsid w:val="00D918C1"/>
    <w:rsid w:val="00D930AD"/>
    <w:rsid w:val="00D94A91"/>
    <w:rsid w:val="00D96775"/>
    <w:rsid w:val="00DB0CB8"/>
    <w:rsid w:val="00DB3148"/>
    <w:rsid w:val="00DC0A81"/>
    <w:rsid w:val="00DC5C72"/>
    <w:rsid w:val="00DD448C"/>
    <w:rsid w:val="00DD5DCB"/>
    <w:rsid w:val="00DE1BEB"/>
    <w:rsid w:val="00DE4285"/>
    <w:rsid w:val="00DE62EB"/>
    <w:rsid w:val="00DF32C3"/>
    <w:rsid w:val="00DF3783"/>
    <w:rsid w:val="00DF6016"/>
    <w:rsid w:val="00E06FFA"/>
    <w:rsid w:val="00E10EDB"/>
    <w:rsid w:val="00E115FD"/>
    <w:rsid w:val="00E2192C"/>
    <w:rsid w:val="00E468D9"/>
    <w:rsid w:val="00E5288E"/>
    <w:rsid w:val="00E5719E"/>
    <w:rsid w:val="00E60569"/>
    <w:rsid w:val="00E71EF0"/>
    <w:rsid w:val="00E8008C"/>
    <w:rsid w:val="00E94146"/>
    <w:rsid w:val="00E95A43"/>
    <w:rsid w:val="00E95EE6"/>
    <w:rsid w:val="00E9672B"/>
    <w:rsid w:val="00E97E19"/>
    <w:rsid w:val="00EA0066"/>
    <w:rsid w:val="00EA0E33"/>
    <w:rsid w:val="00EA2394"/>
    <w:rsid w:val="00EA368D"/>
    <w:rsid w:val="00EB4C68"/>
    <w:rsid w:val="00ED3F4A"/>
    <w:rsid w:val="00ED464C"/>
    <w:rsid w:val="00EE1BC9"/>
    <w:rsid w:val="00EE6DB7"/>
    <w:rsid w:val="00EF577D"/>
    <w:rsid w:val="00EF5DFE"/>
    <w:rsid w:val="00F073A6"/>
    <w:rsid w:val="00F10538"/>
    <w:rsid w:val="00F114D1"/>
    <w:rsid w:val="00F22869"/>
    <w:rsid w:val="00F24D4A"/>
    <w:rsid w:val="00F25A36"/>
    <w:rsid w:val="00F34704"/>
    <w:rsid w:val="00F47D9F"/>
    <w:rsid w:val="00F52A49"/>
    <w:rsid w:val="00F54BC0"/>
    <w:rsid w:val="00F5703F"/>
    <w:rsid w:val="00F63841"/>
    <w:rsid w:val="00F64E4D"/>
    <w:rsid w:val="00F734B5"/>
    <w:rsid w:val="00F76545"/>
    <w:rsid w:val="00F768EB"/>
    <w:rsid w:val="00F82512"/>
    <w:rsid w:val="00F84051"/>
    <w:rsid w:val="00F853EC"/>
    <w:rsid w:val="00F85A6B"/>
    <w:rsid w:val="00F86011"/>
    <w:rsid w:val="00F8781A"/>
    <w:rsid w:val="00FB3507"/>
    <w:rsid w:val="00FB77AC"/>
    <w:rsid w:val="00FC4CCD"/>
    <w:rsid w:val="00FC5444"/>
    <w:rsid w:val="00FD2BC8"/>
    <w:rsid w:val="00FD31D4"/>
    <w:rsid w:val="00FD487D"/>
    <w:rsid w:val="00FD4DD8"/>
    <w:rsid w:val="00FD5998"/>
    <w:rsid w:val="00FD59F1"/>
    <w:rsid w:val="00FD6572"/>
    <w:rsid w:val="00FE3E9D"/>
    <w:rsid w:val="00FE6A90"/>
    <w:rsid w:val="00FE7C58"/>
    <w:rsid w:val="00FF0947"/>
    <w:rsid w:val="00FF2578"/>
    <w:rsid w:val="00FF343F"/>
    <w:rsid w:val="00FF3E11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FADDF"/>
  <w15:chartTrackingRefBased/>
  <w15:docId w15:val="{EBCDFD62-C668-45D7-8A22-339E2C03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333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53685B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53685B"/>
    <w:pPr>
      <w:keepNext/>
      <w:keepLines/>
      <w:suppressAutoHyphens/>
      <w:spacing w:before="24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A4D48"/>
    <w:pPr>
      <w:suppressAutoHyphens/>
      <w:spacing w:before="24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53685B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nhideWhenUsed/>
    <w:qFormat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46F5"/>
    <w:pPr>
      <w:numPr>
        <w:numId w:val="10"/>
      </w:numPr>
      <w:suppressAutoHyphens/>
      <w:spacing w:before="120"/>
      <w:ind w:left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53685B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7A46E1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customStyle="1" w:styleId="WECCTable">
    <w:name w:val="WECC Table"/>
    <w:basedOn w:val="ListTable3-Accent1"/>
    <w:uiPriority w:val="99"/>
    <w:rsid w:val="008446F5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paragraph" w:styleId="FootnoteText">
    <w:name w:val="footnote text"/>
    <w:basedOn w:val="Normal"/>
    <w:link w:val="FootnoteTextChar"/>
    <w:uiPriority w:val="35"/>
    <w:qFormat/>
    <w:rsid w:val="008E2D2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5"/>
    <w:rsid w:val="008E2D28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3685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22CF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2691A"/>
    <w:pPr>
      <w:spacing w:after="0" w:line="240" w:lineRule="auto"/>
    </w:pPr>
    <w:rPr>
      <w:rFonts w:ascii="Palatino Linotype" w:hAnsi="Palatino Linotype"/>
    </w:rPr>
  </w:style>
  <w:style w:type="paragraph" w:customStyle="1" w:styleId="Normal2">
    <w:name w:val="Normal 2"/>
    <w:basedOn w:val="Normal"/>
    <w:link w:val="Normal2Char"/>
    <w:qFormat/>
    <w:rsid w:val="00FF343F"/>
    <w:pPr>
      <w:spacing w:before="120"/>
      <w:ind w:left="720"/>
    </w:pPr>
  </w:style>
  <w:style w:type="character" w:customStyle="1" w:styleId="Normal2Char">
    <w:name w:val="Normal 2 Char"/>
    <w:basedOn w:val="DefaultParagraphFont"/>
    <w:link w:val="Normal2"/>
    <w:rsid w:val="00FF343F"/>
    <w:rPr>
      <w:rFonts w:ascii="Palatino Linotype" w:hAnsi="Palatino Linotype"/>
    </w:rPr>
  </w:style>
  <w:style w:type="table" w:customStyle="1" w:styleId="WECCTable1">
    <w:name w:val="WECC Table1"/>
    <w:basedOn w:val="ListTable3-Accent1"/>
    <w:uiPriority w:val="99"/>
    <w:rsid w:val="005B679F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customStyle="1" w:styleId="BoxText">
    <w:name w:val="Box Text"/>
    <w:uiPriority w:val="99"/>
    <w:rsid w:val="00DD448C"/>
    <w:rPr>
      <w:color w:val="3D58A7"/>
      <w:szCs w:val="24"/>
    </w:rPr>
  </w:style>
  <w:style w:type="paragraph" w:customStyle="1" w:styleId="MeetingsLeader">
    <w:name w:val="Meetings Leader"/>
    <w:basedOn w:val="Normal"/>
    <w:link w:val="MeetingsLeaderChar"/>
    <w:uiPriority w:val="6"/>
    <w:qFormat/>
    <w:rsid w:val="00EA0066"/>
    <w:pPr>
      <w:tabs>
        <w:tab w:val="left" w:leader="dot" w:pos="7200"/>
      </w:tabs>
      <w:spacing w:before="120"/>
      <w:ind w:left="720"/>
    </w:pPr>
  </w:style>
  <w:style w:type="character" w:customStyle="1" w:styleId="MeetingsLeaderChar">
    <w:name w:val="Meetings Leader Char"/>
    <w:basedOn w:val="DefaultParagraphFont"/>
    <w:link w:val="MeetingsLeader"/>
    <w:uiPriority w:val="6"/>
    <w:rsid w:val="00EA0066"/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47964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3593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5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05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13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0205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4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black@wecc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wecc.org/Standards/pages/wecc-0146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BasicDocument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650</Value>
      <Value>649</Value>
      <Value>2069</Value>
    </TaxCatchAll>
    <Privacy xmlns="2fb8a92a-9032-49d6-b983-191f0a73b01f">Public</Privacy>
    <Event_x0020_ID xmlns="4bd63098-0c83-43cf-abdd-085f2cc55a51" xsi:nil="true"/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Submit and Review Comments</TermName>
          <TermId xmlns="http://schemas.microsoft.com/office/infopath/2007/PartnerControls">b87a555a-b3e8-4e12-b0c3-be4bd0ab7d0f</TermId>
        </TermInfo>
        <TermInfo xmlns="http://schemas.microsoft.com/office/infopath/2007/PartnerControls">
          <TermName xmlns="http://schemas.microsoft.com/office/infopath/2007/PartnerControls">Response to Comments</TermName>
          <TermId xmlns="http://schemas.microsoft.com/office/infopath/2007/PartnerControls">11e89315-5f91-42b8-b495-7f5efcb08566</TermId>
        </TermInfo>
        <TermInfo xmlns="http://schemas.microsoft.com/office/infopath/2007/PartnerControls">
          <TermName xmlns="http://schemas.microsoft.com/office/infopath/2007/PartnerControls">WECC-0146</TermName>
          <TermId xmlns="http://schemas.microsoft.com/office/infopath/2007/PartnerControls">78f1fa10-ac1c-45c6-91bc-62d287db856a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YWEQ7USXTMD7-3-12818</_dlc_DocId>
    <_dlc_DocIdUrl xmlns="4bd63098-0c83-43cf-abdd-085f2cc55a51">
      <Url>https://internal.wecc.org/_layouts/15/DocIdRedir.aspx?ID=YWEQ7USXTMD7-3-12818</Url>
      <Description>YWEQ7USXTMD7-3-12818</Description>
    </_dlc_DocIdUrl>
    <Jurisdiction xmlns="2fb8a92a-9032-49d6-b983-191f0a73b01f"/>
    <Standard_x0020_Family xmlns="2fb8a92a-9032-49d6-b983-191f0a73b01f">TPL</Standard_x0020_Family>
    <Other_x0020_Reliability_x0020_Documents xmlns="2fb8a92a-9032-49d6-b983-191f0a73b01f" xsi:nil="true"/>
    <Adopted_x002f_Approved_x0020_By xmlns="2fb8a92a-9032-49d6-b983-191f0a73b01f">WSC</Adopted_x002f_Approved_x0020_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62F292-9177-4C6F-BAB9-0FCB6C2636BF}">
  <ds:schemaRefs>
    <ds:schemaRef ds:uri="http://schemas.microsoft.com/office/2006/metadata/properties"/>
    <ds:schemaRef ds:uri="http://schemas.microsoft.com/office/infopath/2007/PartnerControls"/>
    <ds:schemaRef ds:uri="2fb8a92a-9032-49d6-b983-191f0a73b01f"/>
    <ds:schemaRef ds:uri="4bd63098-0c83-43cf-abdd-085f2cc55a51"/>
  </ds:schemaRefs>
</ds:datastoreItem>
</file>

<file path=customXml/itemProps2.xml><?xml version="1.0" encoding="utf-8"?>
<ds:datastoreItem xmlns:ds="http://schemas.openxmlformats.org/officeDocument/2006/customXml" ds:itemID="{21F1B17A-C2F9-47A9-BF1A-833AE297B8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475EF-4E92-42A6-8A38-FF33D35FE7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9198E6-AE6F-4B9E-A586-D6F4FF384D6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44E92F7-3B32-4CFD-9D22-04C57FE4FA9E}"/>
</file>

<file path=docProps/app.xml><?xml version="1.0" encoding="utf-8"?>
<Properties xmlns="http://schemas.openxmlformats.org/officeDocument/2006/extended-properties" xmlns:vt="http://schemas.openxmlformats.org/officeDocument/2006/docPropsVTypes">
  <Template>BasicDocument</Template>
  <TotalTime>1</TotalTime>
  <Pages>6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WECC-0146 Posting 3 TPL-001-WECC-CRT-3 Response to Comments</vt:lpstr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WECC-0146 Posting 5 TPL-001-WECC-CRT-4 Response to Comments</dc:title>
  <dc:subject/>
  <dc:creator>Coleman, Chad</dc:creator>
  <cp:keywords>Submit and Review Comments; WECC-0146; Response to Comments</cp:keywords>
  <dc:description/>
  <cp:lastModifiedBy>Black, Shannon</cp:lastModifiedBy>
  <cp:revision>2</cp:revision>
  <cp:lastPrinted>2022-04-28T17:25:00Z</cp:lastPrinted>
  <dcterms:created xsi:type="dcterms:W3CDTF">2022-10-03T19:17:00Z</dcterms:created>
  <dcterms:modified xsi:type="dcterms:W3CDTF">2022-10-03T19:17:00Z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0x010100E45EF0F8AAA65E428351BA36F1B645BE1200CA280BBE04EF434C8DECBE67FD58A074</vt:lpwstr>
  </property>
  <property fmtid="{D5CDD505-2E9C-101B-9397-08002B2CF9AE}" pid="3" name="_dlc_DocIdItemGuid">
    <vt:lpwstr>39dc6adb-db01-4c09-8e5b-587de0df867e</vt:lpwstr>
  </property>
  <property fmtid="{D5CDD505-2E9C-101B-9397-08002B2CF9AE}" pid="4" name="TaxKeyword">
    <vt:lpwstr>650;#Submit and Review Comments|b87a555a-b3e8-4e12-b0c3-be4bd0ab7d0f;#649;#Response to Comments|11e89315-5f91-42b8-b495-7f5efcb08566;#2069;#WECC-0146|78f1fa10-ac1c-45c6-91bc-62d287db856a</vt:lpwstr>
  </property>
</Properties>
</file>