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99C9" w14:textId="77777777" w:rsidR="00323BC9" w:rsidRPr="00E60569" w:rsidRDefault="0053685B" w:rsidP="00E60569">
      <w:pPr>
        <w:pStyle w:val="Heading1"/>
      </w:pPr>
      <w:r>
        <w:t xml:space="preserve">Posting </w:t>
      </w:r>
      <w:r w:rsidR="00D71A5B">
        <w:t>1</w:t>
      </w:r>
    </w:p>
    <w:p w14:paraId="04529282" w14:textId="77777777" w:rsidR="0053685B" w:rsidRDefault="0053685B" w:rsidP="0053685B">
      <w:pPr>
        <w:pStyle w:val="Heading2"/>
      </w:pPr>
      <w:r>
        <w:t>Posting</w:t>
      </w:r>
    </w:p>
    <w:p w14:paraId="6ECB3A93" w14:textId="77777777" w:rsidR="00A27E3A" w:rsidRDefault="0094025E" w:rsidP="00D57D83">
      <w:bookmarkStart w:id="0" w:name="_Hlk17896249"/>
      <w:r>
        <w:t>Th</w:t>
      </w:r>
      <w:r w:rsidR="00A27E3A">
        <w:t xml:space="preserve">is project was posted </w:t>
      </w:r>
      <w:r>
        <w:t>for comment from</w:t>
      </w:r>
      <w:r w:rsidR="00A27E3A">
        <w:t xml:space="preserve"> September 14 through October 14, 2021.</w:t>
      </w:r>
    </w:p>
    <w:p w14:paraId="0592FFD5" w14:textId="3E64A794" w:rsidR="008D7432" w:rsidRDefault="0053685B" w:rsidP="00D57D83">
      <w:r>
        <w:t xml:space="preserve">WECC distributed notice for the </w:t>
      </w:r>
      <w:r w:rsidR="00DE4285">
        <w:t xml:space="preserve">posting on </w:t>
      </w:r>
      <w:r w:rsidR="00A27E3A">
        <w:t>September 1, 2021.</w:t>
      </w:r>
      <w:r w:rsidR="001B5EEC">
        <w:t xml:space="preserve"> </w:t>
      </w:r>
      <w:r>
        <w:t xml:space="preserve">The </w:t>
      </w:r>
      <w:r w:rsidR="001B5EEC">
        <w:t>drafting team (</w:t>
      </w:r>
      <w:r>
        <w:t>DT</w:t>
      </w:r>
      <w:r w:rsidR="001B5EEC">
        <w:t>)</w:t>
      </w:r>
      <w:r>
        <w:t xml:space="preserve"> asked stakeholders to provide feedback on the proposed document</w:t>
      </w:r>
      <w:r w:rsidR="008D7432">
        <w:t>(</w:t>
      </w:r>
      <w:r w:rsidR="00B437B5">
        <w:t>s</w:t>
      </w:r>
      <w:r w:rsidR="008D7432">
        <w:t>)</w:t>
      </w:r>
      <w:r>
        <w:t xml:space="preserve"> through a standardized electronic template.</w:t>
      </w:r>
    </w:p>
    <w:p w14:paraId="736D4D8A" w14:textId="77777777" w:rsidR="00FF343F" w:rsidRDefault="00A27E3A" w:rsidP="00D57D83">
      <w:r>
        <w:t xml:space="preserve">Four </w:t>
      </w:r>
      <w:r w:rsidR="00FF343F">
        <w:t xml:space="preserve">comments were received on either project. </w:t>
      </w:r>
    </w:p>
    <w:p w14:paraId="4344AC0E" w14:textId="77777777" w:rsidR="0053685B" w:rsidRDefault="0053685B" w:rsidP="0053685B">
      <w:pPr>
        <w:pStyle w:val="Heading2"/>
      </w:pPr>
      <w:r>
        <w:t>Location of Comments</w:t>
      </w:r>
    </w:p>
    <w:p w14:paraId="3C8977EB" w14:textId="77777777" w:rsidR="0053685B" w:rsidRDefault="00A27E3A" w:rsidP="0053685B">
      <w:r>
        <w:t xml:space="preserve">Comments can </w:t>
      </w:r>
      <w:r w:rsidR="00FF343F">
        <w:t xml:space="preserve">be </w:t>
      </w:r>
      <w:r w:rsidR="0053685B">
        <w:t>viewed in their original format on the WECC-01</w:t>
      </w:r>
      <w:r w:rsidR="007A64C7">
        <w:t>4</w:t>
      </w:r>
      <w:r>
        <w:t xml:space="preserve">6 </w:t>
      </w:r>
      <w:r w:rsidR="0053685B">
        <w:t>project page</w:t>
      </w:r>
      <w:r>
        <w:t xml:space="preserve"> </w:t>
      </w:r>
      <w:r w:rsidR="0053685B">
        <w:t>under the “Submit and Review Comments” accordion.</w:t>
      </w:r>
    </w:p>
    <w:p w14:paraId="00CA3C41" w14:textId="77777777" w:rsidR="0053685B" w:rsidRDefault="0053685B" w:rsidP="0053685B">
      <w:pPr>
        <w:pStyle w:val="Heading2"/>
      </w:pPr>
      <w:r>
        <w:t>Changes in Response to Comment</w:t>
      </w:r>
    </w:p>
    <w:p w14:paraId="697640D5" w14:textId="2007DA4A" w:rsidR="008E7FEE" w:rsidRDefault="007B7D2E" w:rsidP="009751A5">
      <w:pPr>
        <w:pStyle w:val="ListBullet"/>
      </w:pPr>
      <w:r>
        <w:t xml:space="preserve">WR1 and its Rationale </w:t>
      </w:r>
      <w:r w:rsidR="0000557C">
        <w:t xml:space="preserve">section </w:t>
      </w:r>
      <w:r>
        <w:t>were updated to reflect that WR1 is the required default planning criteria.</w:t>
      </w:r>
      <w:r w:rsidR="001B5EEC">
        <w:t xml:space="preserve"> </w:t>
      </w:r>
      <w:r w:rsidR="0000557C">
        <w:t>WR1 does not prohibit the use of more stringent criteria; rather, it sets the minimum threshold.</w:t>
      </w:r>
      <w:r w:rsidR="001B5EEC">
        <w:t xml:space="preserve"> </w:t>
      </w:r>
    </w:p>
    <w:p w14:paraId="78A2268F" w14:textId="77777777" w:rsidR="0000557C" w:rsidRDefault="0000557C" w:rsidP="009751A5">
      <w:pPr>
        <w:pStyle w:val="ListBullet"/>
      </w:pPr>
      <w:r>
        <w:t>In the WR1 Rationale section, a</w:t>
      </w:r>
      <w:r w:rsidR="007B7D2E">
        <w:t xml:space="preserve"> document-specific definition of “BES bus” was created</w:t>
      </w:r>
      <w:r>
        <w:t>.</w:t>
      </w:r>
    </w:p>
    <w:p w14:paraId="7FAE38ED" w14:textId="2B5287D2" w:rsidR="007B7D2E" w:rsidRDefault="007B7D2E" w:rsidP="009751A5">
      <w:pPr>
        <w:pStyle w:val="ListBullet"/>
      </w:pPr>
      <w:r>
        <w:t xml:space="preserve">Footnote 3 was deleted to avoid confusion. </w:t>
      </w:r>
    </w:p>
    <w:p w14:paraId="59CADB66" w14:textId="360A27EA" w:rsidR="0000557C" w:rsidRDefault="0000557C" w:rsidP="009751A5">
      <w:pPr>
        <w:pStyle w:val="ListBullet"/>
      </w:pPr>
      <w:r>
        <w:t>WR2 and its Rationale section were updated to reflect th</w:t>
      </w:r>
      <w:r w:rsidR="00EB61A0">
        <w:t>e</w:t>
      </w:r>
      <w:r>
        <w:t xml:space="preserve"> changes made to WR1. </w:t>
      </w:r>
    </w:p>
    <w:p w14:paraId="564FC945" w14:textId="46FCCD01" w:rsidR="0000557C" w:rsidRDefault="0000557C" w:rsidP="009751A5">
      <w:pPr>
        <w:pStyle w:val="ListBullet"/>
      </w:pPr>
      <w:r>
        <w:t>WR4 and its Rationale section were updated to reflect th</w:t>
      </w:r>
      <w:r w:rsidR="00EB61A0">
        <w:t>e</w:t>
      </w:r>
      <w:r>
        <w:t xml:space="preserve"> changes made to WR1.</w:t>
      </w:r>
    </w:p>
    <w:p w14:paraId="4DE94783" w14:textId="77777777" w:rsidR="0000557C" w:rsidRDefault="0000557C" w:rsidP="009751A5">
      <w:pPr>
        <w:pStyle w:val="ListBullet"/>
      </w:pPr>
      <w:r>
        <w:t xml:space="preserve">Numbering and reference inconsistencies were addressed. </w:t>
      </w:r>
    </w:p>
    <w:p w14:paraId="09695891" w14:textId="77777777" w:rsidR="0053685B" w:rsidRDefault="0053685B" w:rsidP="0053685B">
      <w:pPr>
        <w:pStyle w:val="Heading2"/>
      </w:pPr>
      <w:r>
        <w:t>Minority View</w:t>
      </w:r>
    </w:p>
    <w:p w14:paraId="29775C56" w14:textId="77777777" w:rsidR="0000557C" w:rsidRDefault="0000557C" w:rsidP="009751A5">
      <w:pPr>
        <w:pStyle w:val="ListBullet"/>
      </w:pPr>
      <w:r>
        <w:t xml:space="preserve">The DT declined a request to alter WR2 noting there are no internal inconsistencies. </w:t>
      </w:r>
    </w:p>
    <w:p w14:paraId="631E28C8" w14:textId="1831581C" w:rsidR="00EA0066" w:rsidRDefault="0000557C" w:rsidP="009751A5">
      <w:pPr>
        <w:pStyle w:val="ListBullet"/>
      </w:pPr>
      <w:r>
        <w:t xml:space="preserve">The </w:t>
      </w:r>
      <w:r w:rsidR="00EA0066">
        <w:t xml:space="preserve">DT declined a request to define </w:t>
      </w:r>
      <w:r>
        <w:t>“unrestrained</w:t>
      </w:r>
      <w:r w:rsidR="001B5EEC">
        <w:t>,</w:t>
      </w:r>
      <w:r>
        <w:t>”</w:t>
      </w:r>
      <w:r w:rsidR="00EA0066">
        <w:t xml:space="preserve"> opting rather for the common definition as expounded in the Rationale section. </w:t>
      </w:r>
    </w:p>
    <w:p w14:paraId="170F5CD2" w14:textId="6BEC77B2" w:rsidR="00A27E3A" w:rsidRDefault="00EA0066" w:rsidP="009751A5">
      <w:pPr>
        <w:pStyle w:val="ListBullet"/>
      </w:pPr>
      <w:r>
        <w:t xml:space="preserve">The DT declined a request to alter WR1.4 noting the </w:t>
      </w:r>
      <w:r w:rsidRPr="00EA0066">
        <w:t>intent is to keep WR1.4 for N-1 three-phase faults in order to evaluate swing performance, particularly for non-FIDVR events.</w:t>
      </w:r>
      <w:r w:rsidR="001B5EEC">
        <w:t xml:space="preserve"> </w:t>
      </w:r>
    </w:p>
    <w:p w14:paraId="4368A7CD" w14:textId="77777777" w:rsidR="0053685B" w:rsidRDefault="0053685B" w:rsidP="0053685B">
      <w:pPr>
        <w:pStyle w:val="Heading2"/>
      </w:pPr>
      <w:r>
        <w:lastRenderedPageBreak/>
        <w:t>Proposed Effective Date</w:t>
      </w:r>
    </w:p>
    <w:p w14:paraId="20FA3034" w14:textId="380DF553" w:rsidR="0094025E" w:rsidRDefault="0094025E" w:rsidP="0053685B">
      <w:r>
        <w:t>The proposed effective date is</w:t>
      </w:r>
      <w:r w:rsidR="00FF343F">
        <w:t xml:space="preserve"> </w:t>
      </w:r>
      <w:r w:rsidR="00A27E3A">
        <w:t xml:space="preserve">the first day of the </w:t>
      </w:r>
      <w:r w:rsidR="00EA0066">
        <w:t xml:space="preserve">second </w:t>
      </w:r>
      <w:r w:rsidR="00A27E3A">
        <w:t>quarter following approval by the WECC Board of Directors (</w:t>
      </w:r>
      <w:r w:rsidR="001B5EEC">
        <w:t>Board</w:t>
      </w:r>
      <w:r w:rsidR="00A27E3A">
        <w:t>).</w:t>
      </w:r>
      <w:r w:rsidR="001B5EEC">
        <w:t xml:space="preserve"> </w:t>
      </w:r>
    </w:p>
    <w:p w14:paraId="3917EE5E" w14:textId="77777777" w:rsidR="0053685B" w:rsidRDefault="0053685B" w:rsidP="0053685B">
      <w:pPr>
        <w:pStyle w:val="Heading2"/>
      </w:pPr>
      <w:r>
        <w:t>Justification</w:t>
      </w:r>
    </w:p>
    <w:bookmarkEnd w:id="0"/>
    <w:p w14:paraId="66205DD1" w14:textId="128F53BA" w:rsidR="007A64C7" w:rsidRDefault="00EA0066" w:rsidP="0094025E">
      <w:pPr>
        <w:rPr>
          <w:rFonts w:eastAsia="Palatino Linotype" w:cs="Times New Roman"/>
        </w:rPr>
      </w:pPr>
      <w:r>
        <w:rPr>
          <w:rFonts w:eastAsia="Palatino Linotype" w:cs="Times New Roman"/>
        </w:rPr>
        <w:t>Some entities may be using planning criteria other than the specified default of WR1.</w:t>
      </w:r>
      <w:r w:rsidR="001B5EEC">
        <w:rPr>
          <w:rFonts w:eastAsia="Palatino Linotype" w:cs="Times New Roman"/>
        </w:rPr>
        <w:t xml:space="preserve"> </w:t>
      </w:r>
      <w:r>
        <w:rPr>
          <w:rFonts w:eastAsia="Palatino Linotype" w:cs="Times New Roman"/>
        </w:rPr>
        <w:t>Setting the effective date as the first day of the second quarter should allow sufficient time to implement the WR1 default.</w:t>
      </w:r>
      <w:r w:rsidR="001B5EEC">
        <w:rPr>
          <w:rFonts w:eastAsia="Palatino Linotype" w:cs="Times New Roman"/>
        </w:rPr>
        <w:t xml:space="preserve"> </w:t>
      </w:r>
    </w:p>
    <w:p w14:paraId="02BC1AAF" w14:textId="77777777" w:rsidR="0094025E" w:rsidRPr="0094025E" w:rsidRDefault="0094025E" w:rsidP="0094025E">
      <w:pPr>
        <w:suppressAutoHyphens/>
        <w:spacing w:before="240"/>
        <w:outlineLvl w:val="1"/>
        <w:rPr>
          <w:rFonts w:ascii="Lucida Sans" w:eastAsia="Palatino Linotype" w:hAnsi="Lucida Sans" w:cs="Times New Roman"/>
          <w:b/>
          <w:sz w:val="24"/>
        </w:rPr>
      </w:pPr>
      <w:r w:rsidRPr="0094025E">
        <w:rPr>
          <w:rFonts w:ascii="Lucida Sans" w:eastAsia="Palatino Linotype" w:hAnsi="Lucida Sans" w:cs="Times New Roman"/>
          <w:b/>
          <w:sz w:val="24"/>
        </w:rPr>
        <w:t xml:space="preserve">Impact on Other </w:t>
      </w:r>
      <w:r w:rsidR="00A27E3A">
        <w:rPr>
          <w:rFonts w:ascii="Lucida Sans" w:eastAsia="Palatino Linotype" w:hAnsi="Lucida Sans" w:cs="Times New Roman"/>
          <w:b/>
          <w:sz w:val="24"/>
        </w:rPr>
        <w:t>WECC Criteria</w:t>
      </w:r>
    </w:p>
    <w:p w14:paraId="05585371" w14:textId="77777777" w:rsidR="00FF343F" w:rsidRDefault="00FF343F" w:rsidP="0094025E">
      <w:pPr>
        <w:rPr>
          <w:rFonts w:eastAsia="Palatino Linotype" w:cs="Times New Roman"/>
        </w:rPr>
      </w:pPr>
      <w:r>
        <w:rPr>
          <w:rFonts w:eastAsia="Palatino Linotype" w:cs="Times New Roman"/>
        </w:rPr>
        <w:t>None.</w:t>
      </w:r>
    </w:p>
    <w:p w14:paraId="2885BB72" w14:textId="77777777" w:rsidR="0053685B" w:rsidRDefault="0053685B" w:rsidP="0053685B">
      <w:pPr>
        <w:pStyle w:val="Heading2"/>
      </w:pPr>
      <w:r>
        <w:t>Action Plan</w:t>
      </w:r>
      <w:r w:rsidR="008446F5">
        <w:t xml:space="preserve"> </w:t>
      </w:r>
    </w:p>
    <w:p w14:paraId="2D74C106" w14:textId="1C06A61F" w:rsidR="00EA0066" w:rsidRDefault="00EA0066" w:rsidP="00EA0066">
      <w:pPr>
        <w:pStyle w:val="Normal2"/>
        <w:ind w:left="0"/>
      </w:pPr>
      <w:r>
        <w:t xml:space="preserve">On December 16, 2021, the </w:t>
      </w:r>
      <w:r w:rsidR="001B5EEC">
        <w:t>DT</w:t>
      </w:r>
      <w:r>
        <w:t xml:space="preserve"> agreed by a majority vote to post Posting 2 for a 30-day comment period.</w:t>
      </w:r>
      <w:r w:rsidR="001B5EEC">
        <w:t xml:space="preserve"> </w:t>
      </w:r>
      <w:r>
        <w:t xml:space="preserve">Once the comment period opens, comments can be submitted by selecting the Submit and Review Comments accordion on the WECC-0146 </w:t>
      </w:r>
      <w:r w:rsidR="001B5EEC">
        <w:t>h</w:t>
      </w:r>
      <w:r>
        <w:t>ome</w:t>
      </w:r>
      <w:r w:rsidR="001B5EEC">
        <w:t>p</w:t>
      </w:r>
      <w:r>
        <w:t xml:space="preserve">age. Then, click </w:t>
      </w:r>
      <w:r w:rsidRPr="00533CFD">
        <w:rPr>
          <w:b/>
          <w:bCs/>
        </w:rPr>
        <w:t>Submit Responses to Posting 2</w:t>
      </w:r>
      <w:r>
        <w:t>.</w:t>
      </w:r>
      <w:r w:rsidR="001B5EEC">
        <w:t xml:space="preserve"> </w:t>
      </w:r>
    </w:p>
    <w:p w14:paraId="731DCBBF" w14:textId="50916E03" w:rsidR="00EA0066" w:rsidRDefault="00EA0066" w:rsidP="00EA0066">
      <w:pPr>
        <w:pStyle w:val="Normal2"/>
        <w:ind w:left="0"/>
      </w:pPr>
      <w:r>
        <w:t>The posting period will open December 20, 2021</w:t>
      </w:r>
      <w:r w:rsidR="001B5EEC">
        <w:t>,</w:t>
      </w:r>
      <w:r>
        <w:t xml:space="preserve"> and close January 19, 2022.</w:t>
      </w:r>
      <w:r w:rsidR="001B5EEC">
        <w:t xml:space="preserve"> </w:t>
      </w:r>
    </w:p>
    <w:p w14:paraId="591E484C" w14:textId="77777777" w:rsidR="00EA0066" w:rsidRDefault="00EA0066" w:rsidP="00EA0066">
      <w:pPr>
        <w:pStyle w:val="Normal2"/>
        <w:ind w:left="0"/>
      </w:pPr>
      <w:r>
        <w:t xml:space="preserve">The DT will meet as follows to address comments received: </w:t>
      </w:r>
    </w:p>
    <w:p w14:paraId="79C86F09" w14:textId="461FBE44" w:rsidR="00EA0066" w:rsidRDefault="00EA0066" w:rsidP="00454D47">
      <w:pPr>
        <w:pStyle w:val="MeetingsLeader"/>
        <w:numPr>
          <w:ilvl w:val="0"/>
          <w:numId w:val="30"/>
        </w:numPr>
        <w:ind w:left="720"/>
      </w:pPr>
      <w:bookmarkStart w:id="1" w:name="_Hlk80868955"/>
      <w:r>
        <w:t xml:space="preserve">January 27, 2022, 10:00 a.m. to 12:00 p.m. </w:t>
      </w:r>
      <w:r w:rsidRPr="009A053D">
        <w:tab/>
      </w:r>
      <w:r>
        <w:t>Webinar</w:t>
      </w:r>
    </w:p>
    <w:p w14:paraId="1958ADE6" w14:textId="4AD309B9" w:rsidR="00EA0066" w:rsidRDefault="00EA0066" w:rsidP="00454D47">
      <w:pPr>
        <w:pStyle w:val="MeetingsLeader"/>
        <w:numPr>
          <w:ilvl w:val="0"/>
          <w:numId w:val="30"/>
        </w:numPr>
        <w:ind w:left="720"/>
      </w:pPr>
      <w:r>
        <w:t xml:space="preserve">February 10, 2022, 10:00 a.m. to 12:00 p.m. </w:t>
      </w:r>
      <w:r w:rsidRPr="009A053D">
        <w:tab/>
      </w:r>
      <w:r>
        <w:t>Webinar</w:t>
      </w:r>
    </w:p>
    <w:p w14:paraId="7A140D51" w14:textId="1D28E1F0" w:rsidR="00EA0066" w:rsidRDefault="00EA0066" w:rsidP="00454D47">
      <w:pPr>
        <w:pStyle w:val="MeetingsLeader"/>
        <w:numPr>
          <w:ilvl w:val="0"/>
          <w:numId w:val="30"/>
        </w:numPr>
        <w:ind w:left="720"/>
      </w:pPr>
      <w:r>
        <w:t xml:space="preserve">February 24, 2022, 10:00 a.m. to 12:00 p.m. </w:t>
      </w:r>
      <w:r w:rsidRPr="009A053D">
        <w:tab/>
      </w:r>
      <w:r>
        <w:t>Webinar</w:t>
      </w:r>
    </w:p>
    <w:bookmarkEnd w:id="1"/>
    <w:p w14:paraId="6E4FE88A" w14:textId="77777777" w:rsidR="0053685B" w:rsidRDefault="0053685B" w:rsidP="0053685B">
      <w:pPr>
        <w:pStyle w:val="Heading2"/>
      </w:pPr>
      <w:r w:rsidRPr="005A728A">
        <w:t>Contacts and Appeals</w:t>
      </w:r>
    </w:p>
    <w:p w14:paraId="0A98E9C0" w14:textId="77777777" w:rsidR="00C05765" w:rsidRDefault="0053685B" w:rsidP="008E2D28">
      <w:r>
        <w:t xml:space="preserve">If you feel your comment has been omitted or overlooked, please contact </w:t>
      </w:r>
      <w:hyperlink r:id="rId8" w:history="1">
        <w:r w:rsidR="005A728A">
          <w:rPr>
            <w:rStyle w:val="Hyperlink"/>
          </w:rPr>
          <w:t>W. Shannon Black</w:t>
        </w:r>
      </w:hyperlink>
      <w:r w:rsidR="005A728A">
        <w:t xml:space="preserve">, </w:t>
      </w:r>
      <w:r>
        <w:t>WECC Consultant, at (503) 307-5782.</w:t>
      </w:r>
      <w:r w:rsidR="00454D47">
        <w:rPr>
          <w:rStyle w:val="FootnoteReference"/>
        </w:rPr>
        <w:footnoteReference w:id="1"/>
      </w:r>
      <w:r>
        <w:t xml:space="preserve"> In addition, there is a WECC Reliability Standards appeals process.</w:t>
      </w:r>
    </w:p>
    <w:tbl>
      <w:tblPr>
        <w:tblStyle w:val="WECCTable"/>
        <w:tblW w:w="0" w:type="auto"/>
        <w:tblLook w:val="04A0" w:firstRow="1" w:lastRow="0" w:firstColumn="1" w:lastColumn="0" w:noHBand="0" w:noVBand="1"/>
      </w:tblPr>
      <w:tblGrid>
        <w:gridCol w:w="3685"/>
        <w:gridCol w:w="6385"/>
      </w:tblGrid>
      <w:tr w:rsidR="008E2D28" w14:paraId="60B1031B" w14:textId="77777777" w:rsidTr="008E2D28">
        <w:trPr>
          <w:cnfStyle w:val="100000000000" w:firstRow="1" w:lastRow="0" w:firstColumn="0" w:lastColumn="0" w:oddVBand="0" w:evenVBand="0" w:oddHBand="0" w:evenHBand="0" w:firstRowFirstColumn="0" w:firstRowLastColumn="0" w:lastRowFirstColumn="0" w:lastRowLastColumn="0"/>
          <w:trHeight w:val="37"/>
        </w:trPr>
        <w:tc>
          <w:tcPr>
            <w:cnfStyle w:val="001000000100" w:firstRow="0" w:lastRow="0" w:firstColumn="1" w:lastColumn="0" w:oddVBand="0" w:evenVBand="0" w:oddHBand="0" w:evenHBand="0" w:firstRowFirstColumn="1" w:firstRowLastColumn="0" w:lastRowFirstColumn="0" w:lastRowLastColumn="0"/>
            <w:tcW w:w="3685" w:type="dxa"/>
          </w:tcPr>
          <w:p w14:paraId="274C28B8" w14:textId="77777777" w:rsidR="008E2D28" w:rsidRDefault="008E2D28" w:rsidP="008E2D28">
            <w:r>
              <w:t>Commenter</w:t>
            </w:r>
          </w:p>
        </w:tc>
        <w:tc>
          <w:tcPr>
            <w:tcW w:w="6385" w:type="dxa"/>
          </w:tcPr>
          <w:p w14:paraId="2FC2D6A3" w14:textId="77777777" w:rsidR="008E2D28" w:rsidRDefault="008E2D28" w:rsidP="008E2D28">
            <w:pPr>
              <w:cnfStyle w:val="100000000000" w:firstRow="1" w:lastRow="0" w:firstColumn="0" w:lastColumn="0" w:oddVBand="0" w:evenVBand="0" w:oddHBand="0" w:evenHBand="0" w:firstRowFirstColumn="0" w:firstRowLastColumn="0" w:lastRowFirstColumn="0" w:lastRowLastColumn="0"/>
            </w:pPr>
            <w:r>
              <w:t>Organization</w:t>
            </w:r>
          </w:p>
        </w:tc>
      </w:tr>
      <w:tr w:rsidR="00A27E3A" w14:paraId="025F1F9C" w14:textId="77777777" w:rsidTr="008E2D2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685" w:type="dxa"/>
          </w:tcPr>
          <w:p w14:paraId="01D0FF20" w14:textId="77777777" w:rsidR="00A27E3A" w:rsidRDefault="00A27E3A" w:rsidP="008E2D28">
            <w:r>
              <w:t>Spencer Tacke</w:t>
            </w:r>
          </w:p>
        </w:tc>
        <w:tc>
          <w:tcPr>
            <w:tcW w:w="6385" w:type="dxa"/>
          </w:tcPr>
          <w:p w14:paraId="49D819B5" w14:textId="77777777" w:rsidR="00A27E3A" w:rsidRDefault="00A27E3A" w:rsidP="008E2D28">
            <w:pPr>
              <w:cnfStyle w:val="000000100000" w:firstRow="0" w:lastRow="0" w:firstColumn="0" w:lastColumn="0" w:oddVBand="0" w:evenVBand="0" w:oddHBand="1" w:evenHBand="0" w:firstRowFirstColumn="0" w:firstRowLastColumn="0" w:lastRowFirstColumn="0" w:lastRowLastColumn="0"/>
            </w:pPr>
            <w:r>
              <w:t xml:space="preserve">Auriga Corporation </w:t>
            </w:r>
            <w:r w:rsidR="005B679F">
              <w:t>(AC)</w:t>
            </w:r>
          </w:p>
        </w:tc>
      </w:tr>
      <w:tr w:rsidR="00A27E3A" w14:paraId="77D37608" w14:textId="77777777" w:rsidTr="008E2D28">
        <w:trPr>
          <w:trHeight w:val="37"/>
        </w:trPr>
        <w:tc>
          <w:tcPr>
            <w:cnfStyle w:val="001000000000" w:firstRow="0" w:lastRow="0" w:firstColumn="1" w:lastColumn="0" w:oddVBand="0" w:evenVBand="0" w:oddHBand="0" w:evenHBand="0" w:firstRowFirstColumn="0" w:firstRowLastColumn="0" w:lastRowFirstColumn="0" w:lastRowLastColumn="0"/>
            <w:tcW w:w="3685" w:type="dxa"/>
          </w:tcPr>
          <w:p w14:paraId="164C488A" w14:textId="77777777" w:rsidR="00A27E3A" w:rsidRDefault="00A27E3A" w:rsidP="008E2D28">
            <w:r>
              <w:t>Michelle Amarantos</w:t>
            </w:r>
            <w:r w:rsidR="005B679F">
              <w:t xml:space="preserve"> on behalf of Gary Nolan</w:t>
            </w:r>
          </w:p>
        </w:tc>
        <w:tc>
          <w:tcPr>
            <w:tcW w:w="6385" w:type="dxa"/>
          </w:tcPr>
          <w:p w14:paraId="078797B4" w14:textId="77777777" w:rsidR="00A27E3A" w:rsidRDefault="005B679F" w:rsidP="008E2D28">
            <w:pPr>
              <w:cnfStyle w:val="000000000000" w:firstRow="0" w:lastRow="0" w:firstColumn="0" w:lastColumn="0" w:oddVBand="0" w:evenVBand="0" w:oddHBand="0" w:evenHBand="0" w:firstRowFirstColumn="0" w:firstRowLastColumn="0" w:lastRowFirstColumn="0" w:lastRowLastColumn="0"/>
            </w:pPr>
            <w:r>
              <w:t>Arizona Public Service (APS)</w:t>
            </w:r>
          </w:p>
        </w:tc>
      </w:tr>
      <w:tr w:rsidR="005B679F" w14:paraId="427BC2AE" w14:textId="77777777" w:rsidTr="008E2D28">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685" w:type="dxa"/>
          </w:tcPr>
          <w:p w14:paraId="0664001B" w14:textId="77777777" w:rsidR="005B679F" w:rsidRDefault="005B679F" w:rsidP="008E2D28">
            <w:r>
              <w:t>Adrian Andreoiu</w:t>
            </w:r>
          </w:p>
        </w:tc>
        <w:tc>
          <w:tcPr>
            <w:tcW w:w="6385" w:type="dxa"/>
          </w:tcPr>
          <w:p w14:paraId="4564AE33" w14:textId="77777777" w:rsidR="005B679F" w:rsidRDefault="005B679F" w:rsidP="008E2D28">
            <w:pPr>
              <w:cnfStyle w:val="000000100000" w:firstRow="0" w:lastRow="0" w:firstColumn="0" w:lastColumn="0" w:oddVBand="0" w:evenVBand="0" w:oddHBand="1" w:evenHBand="0" w:firstRowFirstColumn="0" w:firstRowLastColumn="0" w:lastRowFirstColumn="0" w:lastRowLastColumn="0"/>
            </w:pPr>
            <w:r>
              <w:t>British Columbia Hydro (BC Hydro)</w:t>
            </w:r>
          </w:p>
        </w:tc>
      </w:tr>
      <w:tr w:rsidR="005B679F" w14:paraId="4EEB082A" w14:textId="77777777" w:rsidTr="008E2D28">
        <w:trPr>
          <w:trHeight w:val="37"/>
        </w:trPr>
        <w:tc>
          <w:tcPr>
            <w:cnfStyle w:val="001000000000" w:firstRow="0" w:lastRow="0" w:firstColumn="1" w:lastColumn="0" w:oddVBand="0" w:evenVBand="0" w:oddHBand="0" w:evenHBand="0" w:firstRowFirstColumn="0" w:firstRowLastColumn="0" w:lastRowFirstColumn="0" w:lastRowLastColumn="0"/>
            <w:tcW w:w="3685" w:type="dxa"/>
          </w:tcPr>
          <w:p w14:paraId="20E8531F" w14:textId="77777777" w:rsidR="005B679F" w:rsidRDefault="005B679F" w:rsidP="008E2D28">
            <w:r>
              <w:t>Cain Braveheart</w:t>
            </w:r>
          </w:p>
        </w:tc>
        <w:tc>
          <w:tcPr>
            <w:tcW w:w="6385" w:type="dxa"/>
          </w:tcPr>
          <w:p w14:paraId="0BC991CC" w14:textId="77777777" w:rsidR="005B679F" w:rsidRDefault="005B679F" w:rsidP="008E2D28">
            <w:pPr>
              <w:cnfStyle w:val="000000000000" w:firstRow="0" w:lastRow="0" w:firstColumn="0" w:lastColumn="0" w:oddVBand="0" w:evenVBand="0" w:oddHBand="0" w:evenHBand="0" w:firstRowFirstColumn="0" w:firstRowLastColumn="0" w:lastRowFirstColumn="0" w:lastRowLastColumn="0"/>
            </w:pPr>
            <w:r>
              <w:t xml:space="preserve">Bonneville Power Administration (BPA) </w:t>
            </w:r>
          </w:p>
        </w:tc>
      </w:tr>
    </w:tbl>
    <w:p w14:paraId="3C86E329" w14:textId="77777777" w:rsidR="005B679F" w:rsidRPr="005B679F" w:rsidRDefault="005B679F" w:rsidP="005B679F">
      <w:pPr>
        <w:keepNext/>
        <w:keepLines/>
        <w:pBdr>
          <w:bottom w:val="single" w:sz="12" w:space="1" w:color="414042"/>
        </w:pBdr>
        <w:suppressAutoHyphens/>
        <w:spacing w:before="240"/>
        <w:outlineLvl w:val="0"/>
        <w:rPr>
          <w:rFonts w:ascii="Lucida Sans" w:eastAsiaTheme="majorEastAsia" w:hAnsi="Lucida Sans" w:cstheme="majorBidi"/>
          <w:b/>
          <w:bCs/>
          <w:color w:val="000000" w:themeColor="text1"/>
          <w:sz w:val="27"/>
          <w:szCs w:val="26"/>
        </w:rPr>
      </w:pPr>
      <w:r w:rsidRPr="005B679F">
        <w:rPr>
          <w:rFonts w:ascii="Lucida Sans" w:eastAsiaTheme="majorEastAsia" w:hAnsi="Lucida Sans" w:cstheme="majorBidi"/>
          <w:b/>
          <w:bCs/>
          <w:color w:val="000000" w:themeColor="text1"/>
          <w:sz w:val="27"/>
          <w:szCs w:val="26"/>
        </w:rPr>
        <w:lastRenderedPageBreak/>
        <w:t>Index to Questions, Comments, and Responses</w:t>
      </w:r>
    </w:p>
    <w:p w14:paraId="1DC562EE" w14:textId="77777777" w:rsidR="005B679F" w:rsidRPr="005B679F" w:rsidRDefault="005B679F" w:rsidP="005B679F">
      <w:pPr>
        <w:keepNext/>
        <w:keepLines/>
        <w:suppressAutoHyphens/>
        <w:spacing w:before="240"/>
        <w:outlineLvl w:val="1"/>
        <w:rPr>
          <w:rFonts w:ascii="Lucida Sans" w:hAnsi="Lucida Sans"/>
          <w:b/>
          <w:sz w:val="24"/>
        </w:rPr>
      </w:pPr>
      <w:r w:rsidRPr="005B679F">
        <w:rPr>
          <w:rFonts w:ascii="Lucida Sans" w:hAnsi="Lucida Sans"/>
          <w:b/>
          <w:sz w:val="24"/>
        </w:rPr>
        <w:t>Question</w:t>
      </w:r>
    </w:p>
    <w:p w14:paraId="3870FF6E" w14:textId="77777777" w:rsidR="005B679F" w:rsidRPr="005B679F" w:rsidRDefault="005B679F" w:rsidP="005B679F">
      <w:pPr>
        <w:numPr>
          <w:ilvl w:val="0"/>
          <w:numId w:val="10"/>
        </w:numPr>
        <w:suppressAutoHyphens/>
        <w:spacing w:before="120"/>
        <w:ind w:left="360"/>
        <w:contextualSpacing/>
        <w:rPr>
          <w:b/>
        </w:rPr>
      </w:pPr>
      <w:r w:rsidRPr="005B679F">
        <w:rPr>
          <w:b/>
        </w:rPr>
        <w:t>The Drafting Team welcomes comments on all aspects of the document.</w:t>
      </w:r>
    </w:p>
    <w:p w14:paraId="6203F6ED" w14:textId="77777777" w:rsidR="005B679F" w:rsidRDefault="005B679F" w:rsidP="005B679F"/>
    <w:p w14:paraId="4D24C561" w14:textId="77777777" w:rsidR="005B679F" w:rsidRDefault="005B679F">
      <w:r>
        <w:br w:type="page"/>
      </w:r>
    </w:p>
    <w:p w14:paraId="16B4E791" w14:textId="77777777" w:rsidR="005B679F" w:rsidRPr="005B679F" w:rsidRDefault="005B679F" w:rsidP="005B679F">
      <w:pPr>
        <w:numPr>
          <w:ilvl w:val="0"/>
          <w:numId w:val="11"/>
        </w:numPr>
        <w:suppressAutoHyphens/>
        <w:spacing w:before="120"/>
        <w:ind w:left="360"/>
        <w:contextualSpacing/>
        <w:rPr>
          <w:b/>
        </w:rPr>
      </w:pPr>
      <w:r w:rsidRPr="005B679F">
        <w:rPr>
          <w:b/>
        </w:rPr>
        <w:lastRenderedPageBreak/>
        <w:t>The Drafting Team welcomes comments on all aspects of the document.</w:t>
      </w:r>
    </w:p>
    <w:tbl>
      <w:tblPr>
        <w:tblStyle w:val="WECCTable1"/>
        <w:tblW w:w="0" w:type="auto"/>
        <w:tblLook w:val="04A0" w:firstRow="1" w:lastRow="0" w:firstColumn="1" w:lastColumn="0" w:noHBand="0" w:noVBand="1"/>
      </w:tblPr>
      <w:tblGrid>
        <w:gridCol w:w="2395"/>
        <w:gridCol w:w="382"/>
        <w:gridCol w:w="7293"/>
      </w:tblGrid>
      <w:tr w:rsidR="005B679F" w:rsidRPr="005B679F" w14:paraId="1C194E22" w14:textId="77777777" w:rsidTr="00DF601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95" w:type="dxa"/>
          </w:tcPr>
          <w:p w14:paraId="35246A89" w14:textId="77777777" w:rsidR="005B679F" w:rsidRPr="00533CFD" w:rsidRDefault="005B679F" w:rsidP="005B679F">
            <w:pPr>
              <w:spacing w:after="120"/>
              <w:rPr>
                <w:rFonts w:asciiTheme="majorHAnsi" w:hAnsiTheme="majorHAnsi"/>
                <w:color w:val="auto"/>
              </w:rPr>
            </w:pPr>
            <w:r w:rsidRPr="00533CFD">
              <w:rPr>
                <w:rFonts w:asciiTheme="majorHAnsi" w:hAnsiTheme="majorHAnsi"/>
              </w:rPr>
              <w:t>Summary Consideration:</w:t>
            </w:r>
          </w:p>
        </w:tc>
        <w:tc>
          <w:tcPr>
            <w:tcW w:w="7675" w:type="dxa"/>
            <w:gridSpan w:val="2"/>
          </w:tcPr>
          <w:p w14:paraId="5117E0D6" w14:textId="77777777" w:rsidR="005B679F" w:rsidRPr="00533CFD" w:rsidRDefault="005B679F" w:rsidP="005B679F">
            <w:pPr>
              <w:spacing w:after="12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rPr>
            </w:pPr>
            <w:r w:rsidRPr="00533CFD">
              <w:rPr>
                <w:rFonts w:asciiTheme="majorHAnsi" w:hAnsiTheme="majorHAnsi"/>
              </w:rPr>
              <w:t>See summary in the preamble.</w:t>
            </w:r>
          </w:p>
        </w:tc>
      </w:tr>
      <w:tr w:rsidR="005B679F" w:rsidRPr="005B679F" w14:paraId="5DA9C467" w14:textId="77777777" w:rsidTr="00DF601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77" w:type="dxa"/>
            <w:gridSpan w:val="2"/>
            <w:shd w:val="clear" w:color="auto" w:fill="005172"/>
          </w:tcPr>
          <w:p w14:paraId="11D72068" w14:textId="77777777" w:rsidR="005B679F" w:rsidRPr="00533CFD" w:rsidRDefault="005B679F" w:rsidP="005B679F">
            <w:pPr>
              <w:spacing w:after="120"/>
              <w:rPr>
                <w:b w:val="0"/>
                <w:bCs w:val="0"/>
                <w:color w:val="FFFFFF" w:themeColor="background2"/>
              </w:rPr>
            </w:pPr>
            <w:r w:rsidRPr="00533CFD">
              <w:rPr>
                <w:color w:val="FFFFFF" w:themeColor="background2"/>
              </w:rPr>
              <w:t>Commenter/Comment</w:t>
            </w:r>
          </w:p>
        </w:tc>
        <w:tc>
          <w:tcPr>
            <w:tcW w:w="7293" w:type="dxa"/>
            <w:shd w:val="clear" w:color="auto" w:fill="005172"/>
          </w:tcPr>
          <w:p w14:paraId="0502F626" w14:textId="77777777" w:rsidR="005B679F" w:rsidRPr="00533CFD" w:rsidRDefault="005B679F" w:rsidP="005B679F">
            <w:pPr>
              <w:spacing w:after="120"/>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2"/>
              </w:rPr>
            </w:pPr>
            <w:r w:rsidRPr="00533CFD">
              <w:rPr>
                <w:color w:val="FFFFFF" w:themeColor="background2"/>
              </w:rPr>
              <w:t>Response</w:t>
            </w:r>
          </w:p>
        </w:tc>
      </w:tr>
      <w:tr w:rsidR="005B679F" w:rsidRPr="005B679F" w14:paraId="1C0CCBAD" w14:textId="77777777" w:rsidTr="00DF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gridSpan w:val="2"/>
            <w:tcBorders>
              <w:bottom w:val="single" w:sz="4" w:space="0" w:color="auto"/>
            </w:tcBorders>
          </w:tcPr>
          <w:p w14:paraId="54E090E3" w14:textId="77777777" w:rsidR="005B679F" w:rsidRPr="005B679F" w:rsidRDefault="005B679F" w:rsidP="005B679F">
            <w:pPr>
              <w:spacing w:after="120"/>
              <w:rPr>
                <w:bCs w:val="0"/>
              </w:rPr>
            </w:pPr>
            <w:bookmarkStart w:id="2" w:name="_Hlk85536468"/>
            <w:r>
              <w:rPr>
                <w:bCs w:val="0"/>
              </w:rPr>
              <w:t>AC</w:t>
            </w:r>
          </w:p>
        </w:tc>
        <w:tc>
          <w:tcPr>
            <w:tcW w:w="7293" w:type="dxa"/>
            <w:tcBorders>
              <w:bottom w:val="single" w:sz="4" w:space="0" w:color="auto"/>
            </w:tcBorders>
          </w:tcPr>
          <w:p w14:paraId="46233CC4" w14:textId="77777777"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On Page 3 Section WR1 1.1.2, the "P1-P7</w:t>
            </w:r>
            <w:r w:rsidRPr="005B679F">
              <w:rPr>
                <w:vertAlign w:val="superscript"/>
              </w:rPr>
              <w:t>3" </w:t>
            </w:r>
            <w:r w:rsidRPr="005B679F">
              <w:t>indicates in the footnotes at the bottom of the page, those requirements were "Previously cited", but I cannot find the previous citing in the document.</w:t>
            </w:r>
          </w:p>
          <w:p w14:paraId="50DEFF0C" w14:textId="77777777"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On page 3, Requirement 1.2 seems inconsistent with requirement 1.1.1 &amp; 1.1.2, because if the pre-contingency voltage for a P1 event was compliant with 1.1.1 (i.e., within 95 to 105 percent of nominal), say at 95% , and the post-contingency voltage for a P1 event was within the 1.1.2 requirement of a deviation of no more than 8%, but say 7%, the post-contingency voltage would be at approximately 88%, which would be a violation of requirement 1.1.2.</w:t>
            </w:r>
          </w:p>
          <w:p w14:paraId="15EB5304" w14:textId="1212E4AB"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Why are we trying to remove the third bullet item on page 4, i.e., "When the transient stability voltage response occurs at any applicable BES bus outside of the criteria stated in Requirement WR1.3 of this document" ?</w:t>
            </w:r>
            <w:r w:rsidR="001B5EEC">
              <w:t xml:space="preserve"> </w:t>
            </w:r>
            <w:r w:rsidRPr="005B679F">
              <w:t>If the requirement WR1.3 is based on </w:t>
            </w:r>
            <w:r w:rsidRPr="005B679F">
              <w:rPr>
                <w:b/>
                <w:bCs/>
              </w:rPr>
              <w:t>a myriad of studies</w:t>
            </w:r>
            <w:r w:rsidRPr="005B679F">
              <w:t> showing that if that criteria is violated, then there is a very good chance for cascading or uncontrolled islanding, which it should be, why would we want to remove that requirement?</w:t>
            </w:r>
          </w:p>
          <w:p w14:paraId="7FDC8A41" w14:textId="6B28809C"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 xml:space="preserve">For the third bullet item on page 4, shouldn't we try to but </w:t>
            </w:r>
            <w:r w:rsidR="00483713">
              <w:t xml:space="preserve">[sic. “put”?] </w:t>
            </w:r>
            <w:r w:rsidRPr="005B679F">
              <w:t>some definition of what "unrestrained" means in this case?</w:t>
            </w:r>
            <w:r w:rsidR="001B5EEC">
              <w:t xml:space="preserve"> </w:t>
            </w:r>
            <w:r w:rsidRPr="005B679F">
              <w:t>Does it mean load loss within only the member's local BES stations, all of the member's local substations, or does it mean load loss within all of the member's load stations and a certain percentage of load stations in an adjacent WECC member's systems , etc.?</w:t>
            </w:r>
          </w:p>
          <w:p w14:paraId="4AB0DC98" w14:textId="77777777"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On page 5, WM3 has a reference to "Requirement WR5", but I don't see a proposed "Requirement WR5" in the proposed revised Document.</w:t>
            </w:r>
          </w:p>
          <w:p w14:paraId="7E0B8C28" w14:textId="637C6AF4" w:rsidR="005B679F" w:rsidRPr="005B679F" w:rsidRDefault="005B679F" w:rsidP="005B679F">
            <w:pPr>
              <w:spacing w:after="120"/>
              <w:ind w:left="360"/>
              <w:cnfStyle w:val="000000100000" w:firstRow="0" w:lastRow="0" w:firstColumn="0" w:lastColumn="0" w:oddVBand="0" w:evenVBand="0" w:oddHBand="1" w:evenHBand="0" w:firstRowFirstColumn="0" w:firstRowLastColumn="0" w:lastRowFirstColumn="0" w:lastRowLastColumn="0"/>
            </w:pPr>
            <w:r w:rsidRPr="005B679F">
              <w:t>Are the three waveform criteria on pages 11, 12, and 13 based on numerous and extensive studies, showing system stability if they are met, and system unstabilty</w:t>
            </w:r>
            <w:r>
              <w:t xml:space="preserve"> [sic] </w:t>
            </w:r>
            <w:r w:rsidRPr="005B679F">
              <w:t>if they are not met?</w:t>
            </w:r>
            <w:r w:rsidR="001B5EEC">
              <w:t xml:space="preserve"> </w:t>
            </w:r>
            <w:r w:rsidRPr="005B679F">
              <w:t>And if not, why not?</w:t>
            </w:r>
          </w:p>
        </w:tc>
      </w:tr>
      <w:bookmarkEnd w:id="2"/>
      <w:tr w:rsidR="007A400F" w:rsidRPr="005B679F" w14:paraId="172B6C22" w14:textId="77777777" w:rsidTr="000F663B">
        <w:tc>
          <w:tcPr>
            <w:cnfStyle w:val="001000000000" w:firstRow="0" w:lastRow="0" w:firstColumn="1" w:lastColumn="0" w:oddVBand="0" w:evenVBand="0" w:oddHBand="0" w:evenHBand="0" w:firstRowFirstColumn="0" w:firstRowLastColumn="0" w:lastRowFirstColumn="0" w:lastRowLastColumn="0"/>
            <w:tcW w:w="10070" w:type="dxa"/>
            <w:gridSpan w:val="3"/>
            <w:tcBorders>
              <w:right w:val="single" w:sz="4" w:space="0" w:color="auto"/>
            </w:tcBorders>
          </w:tcPr>
          <w:p w14:paraId="31EE6A1D" w14:textId="7F9BF00B" w:rsidR="005B679F" w:rsidRPr="00C558E0" w:rsidRDefault="005B679F" w:rsidP="00D605B4">
            <w:pPr>
              <w:spacing w:after="120"/>
              <w:ind w:left="158"/>
              <w:rPr>
                <w:b/>
                <w:bCs w:val="0"/>
                <w:color w:val="0070C0"/>
              </w:rPr>
            </w:pPr>
            <w:r w:rsidRPr="00C558E0">
              <w:rPr>
                <w:b/>
                <w:color w:val="0070C0"/>
              </w:rPr>
              <w:lastRenderedPageBreak/>
              <w:t>Page 3 Section WR1 1.1.2, the “P1-P7”</w:t>
            </w:r>
            <w:r w:rsidR="002B292F">
              <w:rPr>
                <w:b/>
                <w:color w:val="0070C0"/>
              </w:rPr>
              <w:t>—</w:t>
            </w:r>
            <w:r w:rsidRPr="00C558E0">
              <w:rPr>
                <w:b/>
                <w:color w:val="0070C0"/>
              </w:rPr>
              <w:t>Previously Cited</w:t>
            </w:r>
          </w:p>
          <w:p w14:paraId="2269B234" w14:textId="468B42AB" w:rsidR="00B076C7" w:rsidRPr="008F647B" w:rsidRDefault="007A400F" w:rsidP="008F647B">
            <w:pPr>
              <w:shd w:val="clear" w:color="auto" w:fill="FFFFFF"/>
              <w:spacing w:after="120"/>
              <w:ind w:left="158"/>
              <w:rPr>
                <w:rFonts w:eastAsia="Times New Roman"/>
                <w:bCs w:val="0"/>
                <w:color w:val="0070C0"/>
              </w:rPr>
            </w:pPr>
            <w:r w:rsidRPr="008F647B">
              <w:rPr>
                <w:rFonts w:eastAsia="Times New Roman"/>
                <w:color w:val="0070C0"/>
              </w:rPr>
              <w:t xml:space="preserve">Footnote 3 “Previously cited” </w:t>
            </w:r>
            <w:r w:rsidR="00B24F85" w:rsidRPr="008F647B">
              <w:rPr>
                <w:rFonts w:eastAsia="Times New Roman"/>
                <w:color w:val="0070C0"/>
              </w:rPr>
              <w:t>was deleted.</w:t>
            </w:r>
            <w:r w:rsidR="001B5EEC" w:rsidRPr="008F647B">
              <w:rPr>
                <w:rFonts w:eastAsia="Times New Roman"/>
                <w:color w:val="0070C0"/>
              </w:rPr>
              <w:t xml:space="preserve"> </w:t>
            </w:r>
            <w:r w:rsidR="00B24F85" w:rsidRPr="008F647B">
              <w:rPr>
                <w:rFonts w:eastAsia="Times New Roman"/>
                <w:color w:val="0070C0"/>
              </w:rPr>
              <w:t>It</w:t>
            </w:r>
            <w:r w:rsidR="003E5939" w:rsidRPr="008F647B">
              <w:rPr>
                <w:rFonts w:eastAsia="Times New Roman"/>
                <w:color w:val="0070C0"/>
              </w:rPr>
              <w:t>s</w:t>
            </w:r>
            <w:r w:rsidR="00B24F85" w:rsidRPr="008F647B">
              <w:rPr>
                <w:rFonts w:eastAsia="Times New Roman"/>
                <w:color w:val="0070C0"/>
              </w:rPr>
              <w:t xml:space="preserve"> full content is incorporated into </w:t>
            </w:r>
            <w:r w:rsidR="00C558E0">
              <w:rPr>
                <w:rFonts w:eastAsia="Times New Roman"/>
                <w:color w:val="0070C0"/>
              </w:rPr>
              <w:t>F</w:t>
            </w:r>
            <w:r w:rsidR="00B24F85" w:rsidRPr="008F647B">
              <w:rPr>
                <w:rFonts w:eastAsia="Times New Roman"/>
                <w:color w:val="0070C0"/>
              </w:rPr>
              <w:t>ootnote 2.</w:t>
            </w:r>
            <w:r w:rsidR="001B5EEC" w:rsidRPr="008F647B">
              <w:rPr>
                <w:rFonts w:eastAsia="Times New Roman"/>
                <w:color w:val="0070C0"/>
              </w:rPr>
              <w:t xml:space="preserve"> </w:t>
            </w:r>
          </w:p>
          <w:p w14:paraId="4BE63C4C" w14:textId="77777777" w:rsidR="007A400F" w:rsidRPr="008F647B" w:rsidRDefault="007A400F" w:rsidP="008F647B">
            <w:pPr>
              <w:shd w:val="clear" w:color="auto" w:fill="FFFFFF"/>
              <w:spacing w:after="120"/>
              <w:ind w:left="158"/>
              <w:rPr>
                <w:rFonts w:eastAsia="Times New Roman"/>
                <w:b/>
                <w:color w:val="0070C0"/>
              </w:rPr>
            </w:pPr>
            <w:r w:rsidRPr="008F647B">
              <w:rPr>
                <w:rFonts w:eastAsia="Times New Roman"/>
                <w:b/>
                <w:color w:val="0070C0"/>
              </w:rPr>
              <w:t>Page 3, Requirement 1.2</w:t>
            </w:r>
          </w:p>
          <w:p w14:paraId="5AA40D6B" w14:textId="77777777" w:rsidR="00171A03" w:rsidRPr="008F647B" w:rsidRDefault="00171A03" w:rsidP="008F647B">
            <w:pPr>
              <w:shd w:val="clear" w:color="auto" w:fill="FFFFFF"/>
              <w:spacing w:after="120"/>
              <w:ind w:left="158"/>
              <w:rPr>
                <w:rFonts w:eastAsia="Times New Roman"/>
                <w:bCs w:val="0"/>
                <w:color w:val="0070C0"/>
              </w:rPr>
            </w:pPr>
            <w:bookmarkStart w:id="3" w:name="_Hlk90556215"/>
            <w:r w:rsidRPr="008F647B">
              <w:rPr>
                <w:rFonts w:eastAsia="Times New Roman"/>
                <w:color w:val="0070C0"/>
              </w:rPr>
              <w:t xml:space="preserve">The drafting team opted </w:t>
            </w:r>
            <w:r w:rsidR="00A1463B" w:rsidRPr="008F647B">
              <w:rPr>
                <w:rFonts w:eastAsia="Times New Roman"/>
                <w:color w:val="0070C0"/>
              </w:rPr>
              <w:t xml:space="preserve">not to change the language. </w:t>
            </w:r>
          </w:p>
          <w:p w14:paraId="62A3AB98" w14:textId="45E25F96" w:rsidR="007A400F" w:rsidRPr="008F647B" w:rsidRDefault="007A400F" w:rsidP="008F647B">
            <w:pPr>
              <w:shd w:val="clear" w:color="auto" w:fill="FFFFFF"/>
              <w:spacing w:after="120"/>
              <w:ind w:left="158"/>
              <w:rPr>
                <w:rFonts w:eastAsia="Times New Roman"/>
                <w:bCs w:val="0"/>
                <w:color w:val="0070C0"/>
              </w:rPr>
            </w:pPr>
            <w:r w:rsidRPr="008F647B">
              <w:rPr>
                <w:rFonts w:eastAsia="Times New Roman"/>
                <w:color w:val="0070C0"/>
              </w:rPr>
              <w:t>WR 1.1.1, 1.1.2, and 1.2 do not conflict with each other. All three requirements must be met independent</w:t>
            </w:r>
            <w:r w:rsidR="007C76CD">
              <w:rPr>
                <w:rFonts w:eastAsia="Times New Roman"/>
                <w:color w:val="0070C0"/>
              </w:rPr>
              <w:t>ly</w:t>
            </w:r>
            <w:r w:rsidRPr="008F647B">
              <w:rPr>
                <w:rFonts w:eastAsia="Times New Roman"/>
                <w:color w:val="0070C0"/>
              </w:rPr>
              <w:t xml:space="preserve"> of each other. Meeting one requirement does not and should not </w:t>
            </w:r>
            <w:r w:rsidR="001E561E" w:rsidRPr="008F647B">
              <w:rPr>
                <w:rFonts w:eastAsia="Times New Roman"/>
                <w:color w:val="0070C0"/>
              </w:rPr>
              <w:t xml:space="preserve">guarantee </w:t>
            </w:r>
            <w:r w:rsidRPr="008F647B">
              <w:rPr>
                <w:rFonts w:eastAsia="Times New Roman"/>
                <w:color w:val="0070C0"/>
              </w:rPr>
              <w:t xml:space="preserve">that the other requirements will also be met; that is why they are explicitly listed as different requirements. </w:t>
            </w:r>
            <w:bookmarkEnd w:id="3"/>
            <w:r w:rsidRPr="008F647B">
              <w:rPr>
                <w:rFonts w:eastAsia="Times New Roman"/>
                <w:color w:val="0070C0"/>
              </w:rPr>
              <w:t>In your example</w:t>
            </w:r>
            <w:r w:rsidR="007C76CD">
              <w:rPr>
                <w:rFonts w:eastAsia="Times New Roman"/>
                <w:color w:val="0070C0"/>
              </w:rPr>
              <w:t>,</w:t>
            </w:r>
            <w:r w:rsidRPr="008F647B">
              <w:rPr>
                <w:rFonts w:eastAsia="Times New Roman"/>
                <w:color w:val="0070C0"/>
              </w:rPr>
              <w:t xml:space="preserve"> the 1.2 requirement is met (less than 8% deviation) but the 1.1.2 is not met (post contingency voltage below 90</w:t>
            </w:r>
            <w:r w:rsidR="00E365C9">
              <w:rPr>
                <w:rFonts w:eastAsia="Times New Roman"/>
                <w:color w:val="0070C0"/>
              </w:rPr>
              <w:t xml:space="preserve">% </w:t>
            </w:r>
            <w:r w:rsidRPr="008F647B">
              <w:rPr>
                <w:rFonts w:eastAsia="Times New Roman"/>
                <w:color w:val="0070C0"/>
              </w:rPr>
              <w:t>of nominal). Similarly, the reverse could be true. If pre-contingency voltage is 104%</w:t>
            </w:r>
            <w:r w:rsidR="00E365C9">
              <w:rPr>
                <w:rFonts w:eastAsia="Times New Roman"/>
                <w:color w:val="0070C0"/>
              </w:rPr>
              <w:t>,</w:t>
            </w:r>
            <w:r w:rsidRPr="008F647B">
              <w:rPr>
                <w:rFonts w:eastAsia="Times New Roman"/>
                <w:color w:val="0070C0"/>
              </w:rPr>
              <w:t xml:space="preserve"> and post-contingency voltage is 92%, then both 1.1.1 and 1.1.2 are met, but since the deviation is 12%, then 1.2 is not met. </w:t>
            </w:r>
          </w:p>
          <w:p w14:paraId="3BFACB5F" w14:textId="77777777" w:rsidR="001E561E" w:rsidRPr="008F647B" w:rsidRDefault="001E561E" w:rsidP="008F647B">
            <w:pPr>
              <w:shd w:val="clear" w:color="auto" w:fill="FFFFFF"/>
              <w:spacing w:after="120"/>
              <w:ind w:left="158"/>
              <w:rPr>
                <w:rFonts w:eastAsia="Times New Roman"/>
                <w:b/>
                <w:bCs w:val="0"/>
                <w:color w:val="0070C0"/>
              </w:rPr>
            </w:pPr>
            <w:r w:rsidRPr="008F647B">
              <w:rPr>
                <w:rFonts w:eastAsia="Times New Roman"/>
                <w:b/>
                <w:color w:val="0070C0"/>
              </w:rPr>
              <w:t xml:space="preserve">Removal of the Third Bullet </w:t>
            </w:r>
          </w:p>
          <w:p w14:paraId="1F58DD98" w14:textId="77777777" w:rsidR="005F5FB9" w:rsidRPr="00C558E0" w:rsidRDefault="005F5FB9" w:rsidP="00D605B4">
            <w:pPr>
              <w:spacing w:after="120"/>
              <w:ind w:left="158"/>
              <w:rPr>
                <w:bCs w:val="0"/>
                <w:color w:val="0070C0"/>
              </w:rPr>
            </w:pPr>
            <w:r w:rsidRPr="00C558E0">
              <w:rPr>
                <w:bCs w:val="0"/>
                <w:color w:val="0070C0"/>
              </w:rPr>
              <w:t xml:space="preserve">After reconsideration, the DT opted to retain the bullet. </w:t>
            </w:r>
          </w:p>
          <w:p w14:paraId="2F39E125" w14:textId="77337B7A" w:rsidR="00483713" w:rsidRPr="00C558E0" w:rsidRDefault="00C65FA8" w:rsidP="00FF3E11">
            <w:pPr>
              <w:spacing w:after="120"/>
              <w:ind w:left="158"/>
              <w:rPr>
                <w:bCs w:val="0"/>
                <w:color w:val="0070C0"/>
              </w:rPr>
            </w:pPr>
            <w:r w:rsidRPr="00C558E0">
              <w:rPr>
                <w:color w:val="0070C0"/>
              </w:rPr>
              <w:t xml:space="preserve">For clarity, </w:t>
            </w:r>
            <w:r w:rsidR="00973DB0" w:rsidRPr="00C558E0">
              <w:rPr>
                <w:color w:val="0070C0"/>
              </w:rPr>
              <w:t>numbered language (e.g.</w:t>
            </w:r>
            <w:r w:rsidR="00E365C9">
              <w:rPr>
                <w:color w:val="0070C0"/>
              </w:rPr>
              <w:t>,</w:t>
            </w:r>
            <w:r w:rsidR="00973DB0" w:rsidRPr="00C558E0">
              <w:rPr>
                <w:color w:val="0070C0"/>
              </w:rPr>
              <w:t xml:space="preserve"> 1) 2) 3)) creates an all-inclusive list of required tasks.</w:t>
            </w:r>
            <w:r w:rsidR="001B5EEC" w:rsidRPr="00C558E0">
              <w:rPr>
                <w:color w:val="0070C0"/>
              </w:rPr>
              <w:t xml:space="preserve"> </w:t>
            </w:r>
            <w:r w:rsidR="00973DB0" w:rsidRPr="00C558E0">
              <w:rPr>
                <w:color w:val="0070C0"/>
              </w:rPr>
              <w:t xml:space="preserve">Bulleted language creates </w:t>
            </w:r>
            <w:r w:rsidR="00483713" w:rsidRPr="00C558E0">
              <w:rPr>
                <w:color w:val="0070C0"/>
              </w:rPr>
              <w:t>an any-</w:t>
            </w:r>
            <w:r w:rsidR="00064067" w:rsidRPr="00C558E0">
              <w:rPr>
                <w:color w:val="0070C0"/>
              </w:rPr>
              <w:t>one-or-more task list.</w:t>
            </w:r>
            <w:r w:rsidR="001B5EEC" w:rsidRPr="00C558E0">
              <w:rPr>
                <w:color w:val="0070C0"/>
              </w:rPr>
              <w:t xml:space="preserve"> </w:t>
            </w:r>
          </w:p>
          <w:p w14:paraId="5A7F0282" w14:textId="561E6193" w:rsidR="00064067" w:rsidRPr="00C558E0" w:rsidRDefault="00483713" w:rsidP="001E561E">
            <w:pPr>
              <w:spacing w:after="120"/>
              <w:ind w:left="158"/>
              <w:rPr>
                <w:bCs w:val="0"/>
                <w:color w:val="0070C0"/>
              </w:rPr>
            </w:pPr>
            <w:r w:rsidRPr="00C558E0">
              <w:rPr>
                <w:color w:val="0070C0"/>
              </w:rPr>
              <w:t xml:space="preserve">The language in question is a </w:t>
            </w:r>
            <w:r w:rsidR="001E561E" w:rsidRPr="00C558E0">
              <w:rPr>
                <w:color w:val="0070C0"/>
              </w:rPr>
              <w:t xml:space="preserve">“threshold criteria to identify the </w:t>
            </w:r>
            <w:r w:rsidR="001E561E" w:rsidRPr="00C558E0">
              <w:rPr>
                <w:i/>
                <w:color w:val="0070C0"/>
              </w:rPr>
              <w:t>potential</w:t>
            </w:r>
            <w:r w:rsidR="001E561E" w:rsidRPr="00C558E0">
              <w:rPr>
                <w:color w:val="0070C0"/>
              </w:rPr>
              <w:t xml:space="preserve"> for Cascading or uncontrolled islanding.”</w:t>
            </w:r>
            <w:r w:rsidRPr="00C558E0">
              <w:rPr>
                <w:color w:val="0070C0"/>
              </w:rPr>
              <w:t xml:space="preserve"> (Emphasis added.)</w:t>
            </w:r>
            <w:r w:rsidR="001B5EEC" w:rsidRPr="00C558E0">
              <w:rPr>
                <w:color w:val="0070C0"/>
              </w:rPr>
              <w:t xml:space="preserve"> </w:t>
            </w:r>
            <w:r w:rsidR="001E561E" w:rsidRPr="00C558E0">
              <w:rPr>
                <w:color w:val="0070C0"/>
              </w:rPr>
              <w:t>Although some studies show this is an indicator of instability, others show that it is not.</w:t>
            </w:r>
            <w:r w:rsidR="001B5EEC" w:rsidRPr="00C558E0">
              <w:rPr>
                <w:color w:val="0070C0"/>
              </w:rPr>
              <w:t xml:space="preserve"> </w:t>
            </w:r>
            <w:r w:rsidR="001E561E" w:rsidRPr="00C558E0">
              <w:rPr>
                <w:color w:val="0070C0"/>
              </w:rPr>
              <w:t>See “Rationale for Requirement WR2”</w:t>
            </w:r>
            <w:r w:rsidR="00A1463B" w:rsidRPr="00C558E0">
              <w:rPr>
                <w:color w:val="0070C0"/>
              </w:rPr>
              <w:t xml:space="preserve"> </w:t>
            </w:r>
            <w:r w:rsidR="00FF3E11" w:rsidRPr="00C558E0">
              <w:rPr>
                <w:color w:val="0070C0"/>
              </w:rPr>
              <w:t xml:space="preserve">(previously </w:t>
            </w:r>
            <w:r w:rsidR="002B292F">
              <w:rPr>
                <w:color w:val="0070C0"/>
              </w:rPr>
              <w:t>“</w:t>
            </w:r>
            <w:r w:rsidR="00FF3E11" w:rsidRPr="00C558E0">
              <w:rPr>
                <w:color w:val="0070C0"/>
              </w:rPr>
              <w:t>Rationale for Requirement WR4</w:t>
            </w:r>
            <w:r w:rsidR="00064067" w:rsidRPr="00C558E0">
              <w:rPr>
                <w:color w:val="0070C0"/>
              </w:rPr>
              <w:t>.</w:t>
            </w:r>
            <w:r w:rsidR="002B292F">
              <w:rPr>
                <w:color w:val="0070C0"/>
              </w:rPr>
              <w:t>”)</w:t>
            </w:r>
            <w:r w:rsidR="001B5EEC" w:rsidRPr="00C558E0">
              <w:rPr>
                <w:color w:val="0070C0"/>
              </w:rPr>
              <w:t xml:space="preserve"> </w:t>
            </w:r>
            <w:r w:rsidR="00064067" w:rsidRPr="00C558E0">
              <w:rPr>
                <w:color w:val="0070C0"/>
              </w:rPr>
              <w:t xml:space="preserve">(Numbering will be reviewed.) </w:t>
            </w:r>
          </w:p>
          <w:p w14:paraId="55902CA9" w14:textId="4907BC49" w:rsidR="00C65FA8" w:rsidRPr="00C558E0" w:rsidRDefault="00C65FA8" w:rsidP="00D83860">
            <w:pPr>
              <w:spacing w:after="120"/>
              <w:ind w:left="158"/>
              <w:rPr>
                <w:b/>
                <w:bCs w:val="0"/>
                <w:color w:val="0070C0"/>
              </w:rPr>
            </w:pPr>
            <w:r w:rsidRPr="00C558E0">
              <w:rPr>
                <w:b/>
                <w:bCs w:val="0"/>
                <w:color w:val="0070C0"/>
              </w:rPr>
              <w:t xml:space="preserve">As Approved </w:t>
            </w:r>
            <w:r w:rsidR="00D83860" w:rsidRPr="00C558E0">
              <w:rPr>
                <w:b/>
                <w:bCs w:val="0"/>
                <w:color w:val="0070C0"/>
              </w:rPr>
              <w:t>WR4</w:t>
            </w:r>
            <w:r w:rsidR="00483713" w:rsidRPr="00C558E0">
              <w:rPr>
                <w:b/>
                <w:bCs w:val="0"/>
                <w:color w:val="0070C0"/>
              </w:rPr>
              <w:t xml:space="preserve"> </w:t>
            </w:r>
            <w:r w:rsidRPr="00C558E0">
              <w:rPr>
                <w:b/>
                <w:bCs w:val="0"/>
                <w:color w:val="0070C0"/>
              </w:rPr>
              <w:t>/ As Proposed WR2</w:t>
            </w:r>
            <w:r w:rsidR="007176F3" w:rsidRPr="00C558E0">
              <w:rPr>
                <w:b/>
                <w:bCs w:val="0"/>
                <w:color w:val="0070C0"/>
              </w:rPr>
              <w:t xml:space="preserve"> Bullet Three</w:t>
            </w:r>
            <w:r w:rsidR="002B292F">
              <w:rPr>
                <w:b/>
                <w:bCs w:val="0"/>
                <w:color w:val="0070C0"/>
              </w:rPr>
              <w:t>—</w:t>
            </w:r>
            <w:r w:rsidR="00D83860" w:rsidRPr="00C558E0">
              <w:rPr>
                <w:b/>
                <w:color w:val="0070C0"/>
              </w:rPr>
              <w:t>Definition of Unrestrained</w:t>
            </w:r>
          </w:p>
          <w:p w14:paraId="170E3DC4" w14:textId="232D4ACB" w:rsidR="00D83860" w:rsidRPr="00C558E0" w:rsidRDefault="00D83860" w:rsidP="00D83860">
            <w:pPr>
              <w:spacing w:after="120"/>
              <w:ind w:left="158"/>
              <w:rPr>
                <w:color w:val="0070C0"/>
              </w:rPr>
            </w:pPr>
            <w:r w:rsidRPr="00C558E0">
              <w:rPr>
                <w:bCs w:val="0"/>
                <w:color w:val="0070C0"/>
              </w:rPr>
              <w:t>The DT concluded that no change was required.</w:t>
            </w:r>
            <w:r w:rsidR="001B5EEC" w:rsidRPr="00C558E0">
              <w:rPr>
                <w:bCs w:val="0"/>
                <w:color w:val="0070C0"/>
              </w:rPr>
              <w:t xml:space="preserve"> </w:t>
            </w:r>
          </w:p>
          <w:p w14:paraId="5B858F06" w14:textId="164343A1" w:rsidR="003E5939" w:rsidRPr="00C558E0" w:rsidRDefault="00D83860" w:rsidP="00D605B4">
            <w:pPr>
              <w:spacing w:after="120"/>
              <w:ind w:left="158"/>
              <w:rPr>
                <w:color w:val="0070C0"/>
              </w:rPr>
            </w:pPr>
            <w:r w:rsidRPr="00C558E0">
              <w:rPr>
                <w:bCs w:val="0"/>
                <w:color w:val="0070C0"/>
              </w:rPr>
              <w:t xml:space="preserve">See “Rationale for Requirement </w:t>
            </w:r>
            <w:r w:rsidR="00FF3E11" w:rsidRPr="00C558E0">
              <w:rPr>
                <w:bCs w:val="0"/>
                <w:color w:val="0070C0"/>
              </w:rPr>
              <w:t xml:space="preserve">(proposed) </w:t>
            </w:r>
            <w:r w:rsidRPr="00C558E0">
              <w:rPr>
                <w:bCs w:val="0"/>
                <w:color w:val="0070C0"/>
              </w:rPr>
              <w:t>WR2” section of the document, third paragraph: “The specific amounts of unrestrained load loss addressed in</w:t>
            </w:r>
            <w:r w:rsidR="007176F3" w:rsidRPr="00C558E0">
              <w:rPr>
                <w:bCs w:val="0"/>
                <w:color w:val="0070C0"/>
              </w:rPr>
              <w:t xml:space="preserve"> (proposed) WR2, bullet three, </w:t>
            </w:r>
            <w:r w:rsidRPr="00C558E0">
              <w:rPr>
                <w:bCs w:val="0"/>
                <w:color w:val="0070C0"/>
              </w:rPr>
              <w:t xml:space="preserve">are not specified in this document. Because of the breadth of the possible permutations, the amount should be left to the sound engineering judgment of the planning entity. </w:t>
            </w:r>
          </w:p>
          <w:p w14:paraId="2DCCC155" w14:textId="77777777" w:rsidR="00D83860" w:rsidRPr="00C558E0" w:rsidRDefault="00D83860" w:rsidP="00D83860">
            <w:pPr>
              <w:spacing w:after="120"/>
              <w:ind w:left="158"/>
              <w:rPr>
                <w:b/>
                <w:bCs w:val="0"/>
                <w:color w:val="0070C0"/>
              </w:rPr>
            </w:pPr>
            <w:r w:rsidRPr="00C558E0">
              <w:rPr>
                <w:b/>
                <w:color w:val="0070C0"/>
              </w:rPr>
              <w:t>WM3 Reference to Requirement WR5</w:t>
            </w:r>
          </w:p>
          <w:p w14:paraId="23219FCA" w14:textId="2800118C" w:rsidR="003E5939" w:rsidRPr="00C558E0" w:rsidRDefault="003E5939" w:rsidP="00D83860">
            <w:pPr>
              <w:spacing w:after="120"/>
              <w:ind w:left="158"/>
              <w:rPr>
                <w:bCs w:val="0"/>
                <w:color w:val="0070C0"/>
              </w:rPr>
            </w:pPr>
            <w:r w:rsidRPr="00C558E0">
              <w:rPr>
                <w:color w:val="0070C0"/>
              </w:rPr>
              <w:t>Thank you.</w:t>
            </w:r>
            <w:r w:rsidR="001B5EEC" w:rsidRPr="00C558E0">
              <w:rPr>
                <w:color w:val="0070C0"/>
              </w:rPr>
              <w:t xml:space="preserve"> </w:t>
            </w:r>
            <w:r w:rsidRPr="00C558E0">
              <w:rPr>
                <w:color w:val="0070C0"/>
              </w:rPr>
              <w:t>References will be revisited.</w:t>
            </w:r>
          </w:p>
          <w:p w14:paraId="5BFBCDEA" w14:textId="77777777" w:rsidR="008110DF" w:rsidRPr="00C558E0" w:rsidRDefault="008110DF" w:rsidP="008110DF">
            <w:pPr>
              <w:spacing w:after="120"/>
              <w:ind w:left="158"/>
              <w:rPr>
                <w:b/>
                <w:color w:val="0070C0"/>
              </w:rPr>
            </w:pPr>
            <w:r w:rsidRPr="00C558E0">
              <w:rPr>
                <w:b/>
                <w:bCs w:val="0"/>
                <w:color w:val="0070C0"/>
              </w:rPr>
              <w:t>Waveform Criteria (Illustrations)</w:t>
            </w:r>
          </w:p>
          <w:p w14:paraId="6617796D" w14:textId="77777777" w:rsidR="008110DF" w:rsidRPr="00C558E0" w:rsidRDefault="008110DF" w:rsidP="008110DF">
            <w:pPr>
              <w:spacing w:after="120"/>
              <w:ind w:left="158"/>
              <w:rPr>
                <w:bCs w:val="0"/>
                <w:color w:val="0070C0"/>
              </w:rPr>
            </w:pPr>
            <w:r w:rsidRPr="00C558E0">
              <w:rPr>
                <w:color w:val="0070C0"/>
              </w:rPr>
              <w:lastRenderedPageBreak/>
              <w:t>The DT understands the comment to be</w:t>
            </w:r>
            <w:r w:rsidR="007176F3" w:rsidRPr="00C558E0">
              <w:rPr>
                <w:color w:val="0070C0"/>
              </w:rPr>
              <w:t xml:space="preserve">, </w:t>
            </w:r>
            <w:r w:rsidRPr="00C558E0">
              <w:rPr>
                <w:color w:val="0070C0"/>
              </w:rPr>
              <w:t>“What is the foundation for the illustrations?” and “What do the illustrations depict?”</w:t>
            </w:r>
          </w:p>
          <w:p w14:paraId="2D9A2842" w14:textId="5E6DD825" w:rsidR="0073777A" w:rsidRPr="00C558E0" w:rsidRDefault="0073777A" w:rsidP="008110DF">
            <w:pPr>
              <w:spacing w:after="120"/>
              <w:ind w:left="158"/>
              <w:rPr>
                <w:bCs w:val="0"/>
                <w:color w:val="0070C0"/>
              </w:rPr>
            </w:pPr>
            <w:r w:rsidRPr="00C558E0">
              <w:rPr>
                <w:bCs w:val="0"/>
                <w:color w:val="0070C0"/>
              </w:rPr>
              <w:t>In various forms, the content of the illustrations ha</w:t>
            </w:r>
            <w:r w:rsidR="000E3160" w:rsidRPr="00C558E0">
              <w:rPr>
                <w:bCs w:val="0"/>
                <w:color w:val="0070C0"/>
              </w:rPr>
              <w:t xml:space="preserve">s </w:t>
            </w:r>
            <w:r w:rsidRPr="00C558E0">
              <w:rPr>
                <w:bCs w:val="0"/>
                <w:color w:val="0070C0"/>
              </w:rPr>
              <w:t xml:space="preserve">been resident in </w:t>
            </w:r>
            <w:r w:rsidR="000E3160" w:rsidRPr="00C558E0">
              <w:rPr>
                <w:bCs w:val="0"/>
                <w:color w:val="0070C0"/>
              </w:rPr>
              <w:t>the TPL WECC Criterion since March 6, 2008</w:t>
            </w:r>
            <w:r w:rsidR="003872E3">
              <w:rPr>
                <w:bCs w:val="0"/>
                <w:color w:val="0070C0"/>
              </w:rPr>
              <w:t>,</w:t>
            </w:r>
            <w:r w:rsidR="000E3160" w:rsidRPr="00C558E0">
              <w:rPr>
                <w:bCs w:val="0"/>
                <w:color w:val="0070C0"/>
              </w:rPr>
              <w:t xml:space="preserve"> when the content was presented to and approved by the WECC Planning Coordination Committee.</w:t>
            </w:r>
            <w:r w:rsidR="001B5EEC" w:rsidRPr="00C558E0">
              <w:rPr>
                <w:bCs w:val="0"/>
                <w:color w:val="0070C0"/>
              </w:rPr>
              <w:t xml:space="preserve"> </w:t>
            </w:r>
            <w:r w:rsidR="000E3160" w:rsidRPr="00C558E0">
              <w:rPr>
                <w:bCs w:val="0"/>
                <w:color w:val="0070C0"/>
              </w:rPr>
              <w:t>Their content represents a translation of the NERC/WECC Planning Standards (predating 2008) conducted by the WECC Reliability Subcommittee. As the TPL evolved, at each iteration</w:t>
            </w:r>
            <w:r w:rsidR="00DE327E">
              <w:rPr>
                <w:bCs w:val="0"/>
                <w:color w:val="0070C0"/>
              </w:rPr>
              <w:t>,</w:t>
            </w:r>
            <w:r w:rsidR="000E3160" w:rsidRPr="00C558E0">
              <w:rPr>
                <w:bCs w:val="0"/>
                <w:color w:val="0070C0"/>
              </w:rPr>
              <w:t xml:space="preserve"> the content and illustration</w:t>
            </w:r>
            <w:r w:rsidR="00DE327E">
              <w:rPr>
                <w:bCs w:val="0"/>
                <w:color w:val="0070C0"/>
              </w:rPr>
              <w:t>s</w:t>
            </w:r>
            <w:r w:rsidR="000E3160" w:rsidRPr="00C558E0">
              <w:rPr>
                <w:bCs w:val="0"/>
                <w:color w:val="0070C0"/>
              </w:rPr>
              <w:t xml:space="preserve"> were vetted, voted on, and approved.</w:t>
            </w:r>
            <w:r w:rsidR="001B5EEC" w:rsidRPr="00C558E0">
              <w:rPr>
                <w:bCs w:val="0"/>
                <w:color w:val="0070C0"/>
              </w:rPr>
              <w:t xml:space="preserve"> </w:t>
            </w:r>
          </w:p>
          <w:p w14:paraId="0E0747C4" w14:textId="7F63EA65" w:rsidR="008110DF" w:rsidRPr="00C558E0" w:rsidRDefault="007176F3" w:rsidP="008110DF">
            <w:pPr>
              <w:spacing w:after="120"/>
              <w:ind w:left="158"/>
              <w:rPr>
                <w:bCs w:val="0"/>
                <w:color w:val="0070C0"/>
              </w:rPr>
            </w:pPr>
            <w:r w:rsidRPr="00C558E0">
              <w:rPr>
                <w:color w:val="0070C0"/>
              </w:rPr>
              <w:t xml:space="preserve">The </w:t>
            </w:r>
            <w:r w:rsidR="008110DF" w:rsidRPr="00C558E0">
              <w:rPr>
                <w:color w:val="0070C0"/>
              </w:rPr>
              <w:t>illustrations are not intended to depict all possible voltage trajectories.</w:t>
            </w:r>
            <w:r w:rsidR="001B5EEC" w:rsidRPr="00C558E0">
              <w:rPr>
                <w:color w:val="0070C0"/>
              </w:rPr>
              <w:t xml:space="preserve"> </w:t>
            </w:r>
            <w:r w:rsidR="008110DF" w:rsidRPr="00C558E0">
              <w:rPr>
                <w:color w:val="0070C0"/>
              </w:rPr>
              <w:t xml:space="preserve">They are illustrative only. </w:t>
            </w:r>
          </w:p>
          <w:p w14:paraId="4858F13C" w14:textId="7F2CC801" w:rsidR="00D83860" w:rsidRPr="00C558E0" w:rsidRDefault="008110DF" w:rsidP="008110DF">
            <w:pPr>
              <w:spacing w:after="120"/>
              <w:ind w:left="158"/>
              <w:rPr>
                <w:color w:val="0070C0"/>
              </w:rPr>
            </w:pPr>
            <w:r w:rsidRPr="00C558E0">
              <w:rPr>
                <w:color w:val="0070C0"/>
              </w:rPr>
              <w:t>If AC is referring to the specific threshold values used for WR1 1.3, 1.4, and 1.5, those values are based on studies and engineering judgement. However, those thresholds are not expected to be a bright line between system stability and system instability.</w:t>
            </w:r>
            <w:r w:rsidR="001B5EEC" w:rsidRPr="00C558E0">
              <w:rPr>
                <w:color w:val="0070C0"/>
              </w:rPr>
              <w:t xml:space="preserve"> </w:t>
            </w:r>
            <w:r w:rsidRPr="00C558E0">
              <w:rPr>
                <w:color w:val="0070C0"/>
              </w:rPr>
              <w:t xml:space="preserve">System stability can vary due to many factors including local load level, local generation patterns, system transfers and system topology. It is not feasible to determine a single set of threshold values below which all systems are always stable and above which all systems are always unstable. </w:t>
            </w:r>
          </w:p>
        </w:tc>
      </w:tr>
      <w:tr w:rsidR="005B679F" w:rsidRPr="005B679F" w14:paraId="1C1FE460" w14:textId="77777777" w:rsidTr="00DF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gridSpan w:val="2"/>
            <w:tcBorders>
              <w:bottom w:val="single" w:sz="4" w:space="0" w:color="auto"/>
            </w:tcBorders>
          </w:tcPr>
          <w:p w14:paraId="77E005F3" w14:textId="77777777" w:rsidR="005B679F" w:rsidRPr="005B679F" w:rsidRDefault="00DF6016" w:rsidP="005B679F">
            <w:pPr>
              <w:spacing w:after="120"/>
              <w:rPr>
                <w:bCs w:val="0"/>
              </w:rPr>
            </w:pPr>
            <w:bookmarkStart w:id="4" w:name="_Hlk89942624"/>
            <w:r>
              <w:rPr>
                <w:bCs w:val="0"/>
              </w:rPr>
              <w:lastRenderedPageBreak/>
              <w:t>APS</w:t>
            </w:r>
          </w:p>
        </w:tc>
        <w:tc>
          <w:tcPr>
            <w:tcW w:w="7293" w:type="dxa"/>
            <w:tcBorders>
              <w:bottom w:val="single" w:sz="4" w:space="0" w:color="auto"/>
            </w:tcBorders>
          </w:tcPr>
          <w:p w14:paraId="685144EB" w14:textId="77777777"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AZPS is generally supportive of the proposed comments with the exception of the following proposed changes.</w:t>
            </w:r>
          </w:p>
          <w:p w14:paraId="10CDDF23" w14:textId="1E500C7E"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a)</w:t>
            </w:r>
            <w:r w:rsidR="001B5EEC" w:rsidRPr="00C558E0">
              <w:t xml:space="preserve"> </w:t>
            </w:r>
            <w:r w:rsidRPr="00C558E0">
              <w:t>Comment on WR1.4:</w:t>
            </w:r>
          </w:p>
          <w:p w14:paraId="44F60D8B" w14:textId="77777777"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AZPS proposes the addition of language (shown highlighted in yellow) below:</w:t>
            </w:r>
          </w:p>
          <w:p w14:paraId="2E726071" w14:textId="77777777"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Following fault clearing and voltage recovery above 80 percent, voltage at each applicable BES bus serving load shall neither dip below 70 percent of pre-contingency voltage for more than 30 cycles nor remain below 80 percent of pre-contingency voltage for more than two seconds, for all P1 through P7 Single-Line to Ground fault events.</w:t>
            </w:r>
          </w:p>
          <w:p w14:paraId="74EAABCF" w14:textId="77777777"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Rationale for the change:</w:t>
            </w:r>
          </w:p>
          <w:p w14:paraId="69CE1F74" w14:textId="77777777" w:rsidR="00D01FB6"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 xml:space="preserve">AZPS proposes that WR1.4 should not apply to 3-phase to ground (3PG) faults as they are adequately addressed by WR1.3. As described in the rationale, the intent of WR1.4 is to identify severe undesirable power swings during normal system recovery rather than delayed voltage recovery. Multiple issues with applying WR1.4 noted while performing </w:t>
            </w:r>
            <w:r w:rsidRPr="00C558E0">
              <w:lastRenderedPageBreak/>
              <w:t>simulations as presented to MVWG, WECC were seen only under simulated 3PG faults and no historical/field evidence was noted that suggests such issues were noted in observed FIDVR events or was cause of concern for transient voltage stability. Thereby, AZPS suggests applying R1.4 only to Single line to Ground faults thereby adequately meeting the intent of the criteria without potentially picking up fictitious violations that would not detrimentally impact the system performance. AZPS recognizes that the above suggestion makes the criteria less stringent for a 3PG fault, and the lower burden appears to be a reasonable expectation given the nature and frequency of their occurrences. The presentation referenced above is posted on the WECC website at https://www.wecc.org/Administrative/Green%20-%20Transient%20Voltage%20Recovery%20Criteria_August%202020.pdf.</w:t>
            </w:r>
          </w:p>
          <w:p w14:paraId="5743BFD5" w14:textId="1DF635B6" w:rsidR="00673614"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b)</w:t>
            </w:r>
            <w:r w:rsidR="001B5EEC" w:rsidRPr="00C558E0">
              <w:t xml:space="preserve"> </w:t>
            </w:r>
            <w:r w:rsidRPr="00C558E0">
              <w:t>Comment on Page 9 (last sentence in Rationale for Requirement WR1):</w:t>
            </w:r>
          </w:p>
          <w:p w14:paraId="287A41A3" w14:textId="75D44E52" w:rsidR="00C51B37"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AZPS proposes the addition of language (shown highlighted in yellow) below for clarification purposes, “For purposes of this document, a BES bus that is serving load is the only upstream BES bus to all the downstream (non-BES bus) load radially connected to it, with all the downstream non-BES buses being purely load-serving buses i.e., without any generating resources on them."</w:t>
            </w:r>
          </w:p>
          <w:p w14:paraId="0917FF05" w14:textId="7BC01619" w:rsidR="00C51B37"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rPr>
                <w:i/>
              </w:rPr>
              <w:t xml:space="preserve">Subsequent Entry: </w:t>
            </w:r>
          </w:p>
          <w:p w14:paraId="0B51FF79" w14:textId="33DEE4DD" w:rsidR="00C51B37" w:rsidRPr="00C558E0" w:rsidRDefault="00D01FB6" w:rsidP="008F647B">
            <w:pPr>
              <w:spacing w:after="120"/>
              <w:cnfStyle w:val="000000100000" w:firstRow="0" w:lastRow="0" w:firstColumn="0" w:lastColumn="0" w:oddVBand="0" w:evenVBand="0" w:oddHBand="1" w:evenHBand="0" w:firstRowFirstColumn="0" w:firstRowLastColumn="0" w:lastRowFirstColumn="0" w:lastRowLastColumn="0"/>
            </w:pPr>
            <w:r w:rsidRPr="00C558E0">
              <w:t>On November 4, 2021, APS briefed the DT that additional study and review regarding this WECC Criterion was underway.</w:t>
            </w:r>
            <w:r w:rsidR="001B5EEC" w:rsidRPr="00C558E0">
              <w:t xml:space="preserve"> </w:t>
            </w:r>
            <w:r w:rsidRPr="00C558E0">
              <w:t>APS requested and the DT agreed to allow APS to provide additional comments when the DT met on December 9, 2021.</w:t>
            </w:r>
          </w:p>
          <w:p w14:paraId="63C2718A" w14:textId="040FC9F9" w:rsidR="008F0248" w:rsidRPr="00C558E0" w:rsidRDefault="00D01FB6" w:rsidP="00CE3853">
            <w:pPr>
              <w:spacing w:after="120"/>
              <w:cnfStyle w:val="000000100000" w:firstRow="0" w:lastRow="0" w:firstColumn="0" w:lastColumn="0" w:oddVBand="0" w:evenVBand="0" w:oddHBand="1" w:evenHBand="0" w:firstRowFirstColumn="0" w:firstRowLastColumn="0" w:lastRowFirstColumn="0" w:lastRowLastColumn="0"/>
            </w:pPr>
            <w:r w:rsidRPr="00C558E0">
              <w:t>On December 9, 2021, APS briefed the team on its approach; the team agreed to the conceptual change.</w:t>
            </w:r>
            <w:r w:rsidR="001B5EEC" w:rsidRPr="00C558E0">
              <w:t xml:space="preserve"> </w:t>
            </w:r>
            <w:r w:rsidRPr="00C558E0">
              <w:t>APS agreed to provide suggested prose by the close of December 13, 2021.</w:t>
            </w:r>
          </w:p>
          <w:p w14:paraId="20F20116" w14:textId="5B55DBD7" w:rsidR="00C51B37" w:rsidRPr="00C558E0" w:rsidRDefault="00C51B37" w:rsidP="008F647B">
            <w:pPr>
              <w:spacing w:after="120"/>
              <w:cnfStyle w:val="000000100000" w:firstRow="0" w:lastRow="0" w:firstColumn="0" w:lastColumn="0" w:oddVBand="0" w:evenVBand="0" w:oddHBand="1" w:evenHBand="0" w:firstRowFirstColumn="0" w:firstRowLastColumn="0" w:lastRowFirstColumn="0" w:lastRowLastColumn="0"/>
            </w:pPr>
            <w:r w:rsidRPr="00C558E0">
              <w:lastRenderedPageBreak/>
              <w:t>On December 13, 2021, APS requested consideration of the following language to address “BES bus serving load” on page 9 last sentence in rationale for Requirement WR1:</w:t>
            </w:r>
          </w:p>
          <w:p w14:paraId="7F207B1C" w14:textId="77777777" w:rsidR="00C51B37" w:rsidRPr="00C558E0" w:rsidRDefault="00C51B37" w:rsidP="008F647B">
            <w:pPr>
              <w:spacing w:after="120"/>
              <w:cnfStyle w:val="000000100000" w:firstRow="0" w:lastRow="0" w:firstColumn="0" w:lastColumn="0" w:oddVBand="0" w:evenVBand="0" w:oddHBand="1" w:evenHBand="0" w:firstRowFirstColumn="0" w:firstRowLastColumn="0" w:lastRowFirstColumn="0" w:lastRowLastColumn="0"/>
            </w:pPr>
            <w:r w:rsidRPr="00C558E0">
              <w:t>“For purposes of this document, a BES bus that is serving load is any BES bus that has downstream load connected to it (such downstream load maybe radially connected to it or networked in with other BES buses) and would not include BES switching stations.”</w:t>
            </w:r>
          </w:p>
        </w:tc>
      </w:tr>
      <w:bookmarkEnd w:id="4"/>
      <w:tr w:rsidR="00DF6016" w:rsidRPr="005B679F" w14:paraId="1198E421" w14:textId="77777777" w:rsidTr="000F663B">
        <w:tc>
          <w:tcPr>
            <w:cnfStyle w:val="001000000000" w:firstRow="0" w:lastRow="0" w:firstColumn="1" w:lastColumn="0" w:oddVBand="0" w:evenVBand="0" w:oddHBand="0" w:evenHBand="0" w:firstRowFirstColumn="0" w:firstRowLastColumn="0" w:lastRowFirstColumn="0" w:lastRowLastColumn="0"/>
            <w:tcW w:w="10070" w:type="dxa"/>
            <w:gridSpan w:val="3"/>
            <w:tcBorders>
              <w:right w:val="single" w:sz="4" w:space="0" w:color="auto"/>
            </w:tcBorders>
          </w:tcPr>
          <w:p w14:paraId="0E88EC74" w14:textId="77777777" w:rsidR="00DF6016" w:rsidRPr="001B5EEC" w:rsidRDefault="00DF6016" w:rsidP="00CE3853">
            <w:pPr>
              <w:spacing w:after="120"/>
              <w:rPr>
                <w:b/>
                <w:color w:val="0070C0"/>
              </w:rPr>
            </w:pPr>
            <w:r w:rsidRPr="001B5EEC">
              <w:rPr>
                <w:b/>
                <w:color w:val="0070C0"/>
              </w:rPr>
              <w:lastRenderedPageBreak/>
              <w:t>WR1.4</w:t>
            </w:r>
          </w:p>
          <w:p w14:paraId="35E3CCBF" w14:textId="3FC63AE0" w:rsidR="007176F3" w:rsidRPr="00533CFD" w:rsidRDefault="007176F3" w:rsidP="008F647B">
            <w:pPr>
              <w:spacing w:after="120"/>
              <w:rPr>
                <w:rFonts w:eastAsia="Times New Roman" w:cs="Segoe UI"/>
                <w:bCs w:val="0"/>
                <w:color w:val="0070C0"/>
              </w:rPr>
            </w:pPr>
            <w:r w:rsidRPr="00533CFD">
              <w:rPr>
                <w:rFonts w:eastAsia="Times New Roman" w:cs="Segoe UI"/>
                <w:color w:val="0070C0"/>
              </w:rPr>
              <w:t>The DT greatly appreciates APS’s attendance during this meeting as well as an in-depth discussion of the proposal.</w:t>
            </w:r>
            <w:r w:rsidR="001B5EEC">
              <w:rPr>
                <w:rFonts w:eastAsia="Times New Roman" w:cs="Segoe UI"/>
                <w:color w:val="0070C0"/>
              </w:rPr>
              <w:t xml:space="preserve"> </w:t>
            </w:r>
            <w:r w:rsidRPr="00533CFD">
              <w:rPr>
                <w:rFonts w:eastAsia="Times New Roman" w:cs="Segoe UI"/>
                <w:color w:val="0070C0"/>
              </w:rPr>
              <w:t>After considering APS’</w:t>
            </w:r>
            <w:r w:rsidR="005B5557">
              <w:rPr>
                <w:rFonts w:eastAsia="Times New Roman" w:cs="Segoe UI"/>
                <w:color w:val="0070C0"/>
              </w:rPr>
              <w:t>s</w:t>
            </w:r>
            <w:r w:rsidRPr="00533CFD">
              <w:rPr>
                <w:rFonts w:eastAsia="Times New Roman" w:cs="Segoe UI"/>
                <w:color w:val="0070C0"/>
              </w:rPr>
              <w:t xml:space="preserve"> position, the DT opted not to accept the change</w:t>
            </w:r>
            <w:r w:rsidR="003E5939" w:rsidRPr="00533CFD">
              <w:rPr>
                <w:rFonts w:eastAsia="Times New Roman" w:cs="Segoe UI"/>
                <w:color w:val="0070C0"/>
              </w:rPr>
              <w:t>.</w:t>
            </w:r>
            <w:r w:rsidR="001B5EEC">
              <w:rPr>
                <w:rFonts w:eastAsia="Times New Roman" w:cs="Segoe UI"/>
                <w:color w:val="0070C0"/>
              </w:rPr>
              <w:t xml:space="preserve"> </w:t>
            </w:r>
            <w:r w:rsidRPr="00533CFD">
              <w:rPr>
                <w:rFonts w:eastAsia="Times New Roman" w:cs="Segoe UI"/>
                <w:color w:val="0070C0"/>
              </w:rPr>
              <w:t xml:space="preserve">The intent is to keep WR1.4 for N-1 three-phase faults in order to evaluate swing performance, particularly for non-FIDVR events. </w:t>
            </w:r>
          </w:p>
          <w:p w14:paraId="7F329479" w14:textId="77777777" w:rsidR="00DF6016" w:rsidRPr="001B5EEC" w:rsidRDefault="00DF6016" w:rsidP="00CE3853">
            <w:pPr>
              <w:spacing w:after="120"/>
              <w:rPr>
                <w:b/>
                <w:color w:val="0070C0"/>
              </w:rPr>
            </w:pPr>
            <w:r w:rsidRPr="001B5EEC">
              <w:rPr>
                <w:b/>
                <w:color w:val="0070C0"/>
              </w:rPr>
              <w:t>Rationale WR1</w:t>
            </w:r>
          </w:p>
          <w:p w14:paraId="5276E509" w14:textId="77777777" w:rsidR="00DF6016" w:rsidRPr="001B5EEC" w:rsidRDefault="00DF6016" w:rsidP="00CE3853">
            <w:pPr>
              <w:spacing w:after="120"/>
              <w:rPr>
                <w:bCs w:val="0"/>
                <w:color w:val="0070C0"/>
              </w:rPr>
            </w:pPr>
            <w:r w:rsidRPr="001B5EEC">
              <w:rPr>
                <w:color w:val="0070C0"/>
              </w:rPr>
              <w:t>APS proposes the addition of language (shown highlighted in yellow</w:t>
            </w:r>
            <w:r w:rsidR="00D01FB6" w:rsidRPr="001B5EEC">
              <w:rPr>
                <w:color w:val="0070C0"/>
              </w:rPr>
              <w:t xml:space="preserve"> below) </w:t>
            </w:r>
            <w:r w:rsidRPr="001B5EEC">
              <w:rPr>
                <w:color w:val="0070C0"/>
              </w:rPr>
              <w:t>for clarification purposes:</w:t>
            </w:r>
          </w:p>
          <w:p w14:paraId="363D6682" w14:textId="672F769F" w:rsidR="00D01FB6" w:rsidRPr="001B5EEC" w:rsidRDefault="00D01FB6" w:rsidP="00CE3853">
            <w:pPr>
              <w:spacing w:after="120"/>
              <w:rPr>
                <w:i/>
                <w:color w:val="0070C0"/>
              </w:rPr>
            </w:pPr>
            <w:r w:rsidRPr="001B5EEC">
              <w:rPr>
                <w:bCs w:val="0"/>
                <w:i/>
                <w:color w:val="0070C0"/>
              </w:rPr>
              <w:t>Existing</w:t>
            </w:r>
            <w:r w:rsidR="00B14107" w:rsidRPr="001B5EEC">
              <w:rPr>
                <w:bCs w:val="0"/>
                <w:i/>
                <w:color w:val="0070C0"/>
              </w:rPr>
              <w:t>:</w:t>
            </w:r>
            <w:r w:rsidR="001B5EEC">
              <w:rPr>
                <w:bCs w:val="0"/>
                <w:i/>
                <w:color w:val="0070C0"/>
              </w:rPr>
              <w:t xml:space="preserve"> </w:t>
            </w:r>
          </w:p>
          <w:p w14:paraId="44A20F5C" w14:textId="564B21C4" w:rsidR="00C51B37" w:rsidRPr="001B5EEC" w:rsidRDefault="00D01FB6" w:rsidP="008F647B">
            <w:pPr>
              <w:spacing w:after="120"/>
              <w:rPr>
                <w:color w:val="0070C0"/>
              </w:rPr>
            </w:pPr>
            <w:r w:rsidRPr="001B5EEC">
              <w:rPr>
                <w:color w:val="0070C0"/>
              </w:rPr>
              <w:t>“For purposes of this document, a BES bus that is serving load is the bus with direct transformation from BES-level voltage to distribution-level voltage that serves load.”</w:t>
            </w:r>
          </w:p>
          <w:p w14:paraId="2158193D" w14:textId="22B20CE7" w:rsidR="00D334D6" w:rsidRPr="008F647B" w:rsidRDefault="00B14107" w:rsidP="008F647B">
            <w:pPr>
              <w:spacing w:after="120"/>
              <w:rPr>
                <w:bCs w:val="0"/>
                <w:i/>
                <w:iCs/>
                <w:color w:val="0070C0"/>
              </w:rPr>
            </w:pPr>
            <w:bookmarkStart w:id="5" w:name="_Hlk90374878"/>
            <w:r w:rsidRPr="001B5EEC">
              <w:rPr>
                <w:bCs w:val="0"/>
                <w:i/>
                <w:color w:val="0070C0"/>
              </w:rPr>
              <w:t>Proposed</w:t>
            </w:r>
            <w:r w:rsidR="00D334D6" w:rsidRPr="001B5EEC">
              <w:rPr>
                <w:i/>
                <w:color w:val="0070C0"/>
              </w:rPr>
              <w:t xml:space="preserve"> and Accepted: </w:t>
            </w:r>
            <w:r w:rsidR="00C51B37" w:rsidRPr="001B5EEC">
              <w:rPr>
                <w:i/>
                <w:color w:val="0070C0"/>
              </w:rPr>
              <w:t xml:space="preserve">(For page 9 </w:t>
            </w:r>
            <w:r w:rsidR="00C51B37" w:rsidRPr="008F647B">
              <w:rPr>
                <w:i/>
                <w:iCs/>
                <w:color w:val="0070C0"/>
              </w:rPr>
              <w:t>last sentence in rationale for Requirement WR)</w:t>
            </w:r>
            <w:bookmarkStart w:id="6" w:name="_Hlk78451185"/>
          </w:p>
          <w:p w14:paraId="4BCCF9D3" w14:textId="77777777" w:rsidR="00012FEE" w:rsidRPr="005B679F" w:rsidRDefault="00C51B37" w:rsidP="008F647B">
            <w:pPr>
              <w:spacing w:after="120"/>
              <w:rPr>
                <w:color w:val="0070C0"/>
              </w:rPr>
            </w:pPr>
            <w:r w:rsidRPr="001B5EEC">
              <w:rPr>
                <w:color w:val="0070C0"/>
              </w:rPr>
              <w:t>“For purposes of this document, a BES bus that is serving load is any BES bus that has downstream load connected to it (such downstream load may be radially connected to it or networked in with other BES buses) and would not include BES switching stations.”</w:t>
            </w:r>
            <w:bookmarkEnd w:id="5"/>
            <w:bookmarkEnd w:id="6"/>
          </w:p>
        </w:tc>
      </w:tr>
      <w:tr w:rsidR="00DF6016" w:rsidRPr="005B679F" w14:paraId="431E1B5B" w14:textId="77777777" w:rsidTr="00DF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7" w:type="dxa"/>
            <w:gridSpan w:val="2"/>
            <w:tcBorders>
              <w:bottom w:val="single" w:sz="4" w:space="0" w:color="auto"/>
            </w:tcBorders>
          </w:tcPr>
          <w:p w14:paraId="31747C9D" w14:textId="77777777" w:rsidR="00DF6016" w:rsidRPr="005B679F" w:rsidRDefault="00DF6016" w:rsidP="00DF6016">
            <w:pPr>
              <w:spacing w:after="120"/>
              <w:rPr>
                <w:bCs w:val="0"/>
              </w:rPr>
            </w:pPr>
            <w:bookmarkStart w:id="7" w:name="_Hlk85545988"/>
            <w:r>
              <w:rPr>
                <w:bCs w:val="0"/>
              </w:rPr>
              <w:t>BC Hydro</w:t>
            </w:r>
          </w:p>
        </w:tc>
        <w:tc>
          <w:tcPr>
            <w:tcW w:w="7293" w:type="dxa"/>
            <w:tcBorders>
              <w:bottom w:val="single" w:sz="4" w:space="0" w:color="auto"/>
            </w:tcBorders>
          </w:tcPr>
          <w:p w14:paraId="5CDD5678" w14:textId="77777777" w:rsidR="00DF6016" w:rsidRPr="00DF6016" w:rsidRDefault="00DF6016" w:rsidP="00DF6016">
            <w:pPr>
              <w:spacing w:after="120"/>
              <w:cnfStyle w:val="000000100000" w:firstRow="0" w:lastRow="0" w:firstColumn="0" w:lastColumn="0" w:oddVBand="0" w:evenVBand="0" w:oddHBand="1" w:evenHBand="0" w:firstRowFirstColumn="0" w:firstRowLastColumn="0" w:lastRowFirstColumn="0" w:lastRowLastColumn="0"/>
            </w:pPr>
            <w:r w:rsidRPr="00DF6016">
              <w:t>BC Hydro welcomes the opportunity to review and offers the following comments.</w:t>
            </w:r>
          </w:p>
          <w:p w14:paraId="324B25B7" w14:textId="77777777" w:rsidR="00DF6016" w:rsidRPr="00DF6016" w:rsidRDefault="00DF6016" w:rsidP="00DF6016">
            <w:pPr>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F6016">
              <w:t>The WECC-0146 TPL-001-WECC-CRT-3.2 Five-year Review SAR indicated that this request will review and update the entire document, as needed and that no specific concerns have been identified.</w:t>
            </w:r>
          </w:p>
          <w:p w14:paraId="07F2BB72" w14:textId="77777777" w:rsidR="00DF6016" w:rsidRPr="00DF6016" w:rsidRDefault="00DF6016" w:rsidP="00DF6016">
            <w:pPr>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F6016">
              <w:t xml:space="preserve">BC Hydro noted that the less stringent criterion provision per Requirement WR3 of WECC-0146 TPL-001-WECC-CRT-3.2 was </w:t>
            </w:r>
            <w:r w:rsidRPr="00DF6016">
              <w:lastRenderedPageBreak/>
              <w:t>deleted in the Posting 1 of the draft WECC-0146 TPL-001-WECC-CRT-4 without explanations. BC Hydro deems that the deletion of a criterion is a material change. Please provide rationale.</w:t>
            </w:r>
          </w:p>
          <w:p w14:paraId="060DAF5A" w14:textId="77777777" w:rsidR="00DF6016" w:rsidRPr="00DF6016" w:rsidRDefault="00DF6016" w:rsidP="00DF6016">
            <w:pPr>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F6016">
              <w:t xml:space="preserve">There are some material changes to the requirement related to the use of a more stringent criterion per Requirement WR2 of WECC-0146 TPL-001-WECC-CRT-3.2. The new Requirement WR4 of WECC-0146 TPL-001-WECC-CRT-4 on </w:t>
            </w:r>
            <w:r w:rsidR="00E71EF0" w:rsidRPr="00DF6016">
              <w:t>the use</w:t>
            </w:r>
            <w:r w:rsidRPr="00DF6016">
              <w:t xml:space="preserve"> of a more stringent criterion does not require other affected parties to agree. The new Requirement WR4 only requires that if more stringent criteria are used, this shall a) be applied to its own system, and b) be made available upon request. This is different from the statement in the Rationale of Requirement WR1 that "A more stringent approach may be used in accordance with WR2 so long as all the affected parties agree." Please provide rationale.</w:t>
            </w:r>
          </w:p>
          <w:p w14:paraId="560CC63E" w14:textId="77777777" w:rsidR="00DF6016" w:rsidRPr="005B679F" w:rsidRDefault="00DF6016" w:rsidP="003F3940">
            <w:pPr>
              <w:numPr>
                <w:ilvl w:val="0"/>
                <w:numId w:val="23"/>
              </w:numPr>
              <w:spacing w:after="120"/>
              <w:cnfStyle w:val="000000100000" w:firstRow="0" w:lastRow="0" w:firstColumn="0" w:lastColumn="0" w:oddVBand="0" w:evenVBand="0" w:oddHBand="1" w:evenHBand="0" w:firstRowFirstColumn="0" w:firstRowLastColumn="0" w:lastRowFirstColumn="0" w:lastRowLastColumn="0"/>
            </w:pPr>
            <w:r w:rsidRPr="00DF6016">
              <w:t>The current draft version of WECC-0146 TPL-001-WECC-CRT-4 (Posting 1) includes references to Requirements (e.g. WR5 within the Measure WM3) that need to be updated in accordance with the revisions.</w:t>
            </w:r>
          </w:p>
        </w:tc>
      </w:tr>
      <w:bookmarkEnd w:id="7"/>
      <w:tr w:rsidR="00B6235E" w:rsidRPr="00B6235E" w14:paraId="27E1A206" w14:textId="77777777" w:rsidTr="000F663B">
        <w:tc>
          <w:tcPr>
            <w:cnfStyle w:val="001000000000" w:firstRow="0" w:lastRow="0" w:firstColumn="1" w:lastColumn="0" w:oddVBand="0" w:evenVBand="0" w:oddHBand="0" w:evenHBand="0" w:firstRowFirstColumn="0" w:firstRowLastColumn="0" w:lastRowFirstColumn="0" w:lastRowLastColumn="0"/>
            <w:tcW w:w="10070" w:type="dxa"/>
            <w:gridSpan w:val="3"/>
            <w:tcBorders>
              <w:right w:val="single" w:sz="4" w:space="0" w:color="auto"/>
            </w:tcBorders>
          </w:tcPr>
          <w:p w14:paraId="716443C5" w14:textId="1C9EC30A" w:rsidR="00C36A03" w:rsidRPr="001B5EEC" w:rsidRDefault="00C36A03" w:rsidP="008F647B">
            <w:pPr>
              <w:spacing w:after="120"/>
              <w:rPr>
                <w:rStyle w:val="BoxText"/>
                <w:bCs w:val="0"/>
                <w:color w:val="0070C0"/>
              </w:rPr>
            </w:pPr>
            <w:r w:rsidRPr="001B5EEC">
              <w:rPr>
                <w:rStyle w:val="BoxText"/>
                <w:b/>
                <w:color w:val="0070C0"/>
              </w:rPr>
              <w:lastRenderedPageBreak/>
              <w:t>Overview</w:t>
            </w:r>
          </w:p>
          <w:p w14:paraId="52CC8BD9" w14:textId="5F7D60A2" w:rsidR="00E9672B" w:rsidRPr="001B5EEC" w:rsidRDefault="00C36A03" w:rsidP="008F647B">
            <w:pPr>
              <w:spacing w:after="120"/>
              <w:rPr>
                <w:rStyle w:val="BoxText"/>
                <w:bCs w:val="0"/>
                <w:color w:val="0070C0"/>
              </w:rPr>
            </w:pPr>
            <w:r w:rsidRPr="001B5EEC">
              <w:rPr>
                <w:rStyle w:val="BoxText"/>
                <w:bCs w:val="0"/>
                <w:color w:val="0070C0"/>
              </w:rPr>
              <w:t>The DT appreciates BC’s continued engagement in the WECC Criteria drafting process.</w:t>
            </w:r>
            <w:r w:rsidR="001B5EEC">
              <w:rPr>
                <w:rStyle w:val="BoxText"/>
                <w:bCs w:val="0"/>
                <w:color w:val="0070C0"/>
              </w:rPr>
              <w:t xml:space="preserve"> </w:t>
            </w:r>
            <w:r w:rsidR="00C77307" w:rsidRPr="001B5EEC">
              <w:rPr>
                <w:rStyle w:val="BoxText"/>
                <w:bCs w:val="0"/>
                <w:color w:val="0070C0"/>
              </w:rPr>
              <w:t xml:space="preserve">The primary purpose for the </w:t>
            </w:r>
            <w:r w:rsidR="004E7D99" w:rsidRPr="001B5EEC">
              <w:rPr>
                <w:rStyle w:val="BoxText"/>
                <w:bCs w:val="0"/>
                <w:color w:val="0070C0"/>
              </w:rPr>
              <w:t>p</w:t>
            </w:r>
            <w:r w:rsidR="004E7D99" w:rsidRPr="001B5EEC">
              <w:rPr>
                <w:rStyle w:val="BoxText"/>
                <w:color w:val="0070C0"/>
              </w:rPr>
              <w:t xml:space="preserve">roposed </w:t>
            </w:r>
            <w:r w:rsidR="00C77307" w:rsidRPr="001B5EEC">
              <w:rPr>
                <w:rStyle w:val="BoxText"/>
                <w:bCs w:val="0"/>
                <w:color w:val="0070C0"/>
              </w:rPr>
              <w:t xml:space="preserve">deletion of </w:t>
            </w:r>
            <w:r w:rsidR="005A2805" w:rsidRPr="001B5EEC">
              <w:rPr>
                <w:rStyle w:val="BoxText"/>
                <w:bCs w:val="0"/>
                <w:color w:val="0070C0"/>
              </w:rPr>
              <w:t>W</w:t>
            </w:r>
            <w:r w:rsidR="005A2805" w:rsidRPr="00533CFD">
              <w:rPr>
                <w:rStyle w:val="BoxText"/>
                <w:color w:val="0070C0"/>
              </w:rPr>
              <w:t>R2/WR3 as</w:t>
            </w:r>
            <w:r w:rsidR="00702D91">
              <w:rPr>
                <w:rStyle w:val="BoxText"/>
                <w:color w:val="0070C0"/>
              </w:rPr>
              <w:t xml:space="preserve"> </w:t>
            </w:r>
            <w:r w:rsidR="005A2805" w:rsidRPr="00533CFD">
              <w:rPr>
                <w:rStyle w:val="BoxText"/>
                <w:color w:val="0070C0"/>
              </w:rPr>
              <w:t>approved g</w:t>
            </w:r>
            <w:r w:rsidR="00C77307" w:rsidRPr="001B5EEC">
              <w:rPr>
                <w:rStyle w:val="BoxText"/>
                <w:bCs w:val="0"/>
                <w:color w:val="0070C0"/>
              </w:rPr>
              <w:t xml:space="preserve">oes </w:t>
            </w:r>
            <w:proofErr w:type="gramStart"/>
            <w:r w:rsidR="00C77307" w:rsidRPr="001B5EEC">
              <w:rPr>
                <w:rStyle w:val="BoxText"/>
                <w:bCs w:val="0"/>
                <w:color w:val="0070C0"/>
              </w:rPr>
              <w:t>to</w:t>
            </w:r>
            <w:r w:rsidR="005A2805" w:rsidRPr="001B5EEC">
              <w:rPr>
                <w:rStyle w:val="BoxText"/>
                <w:bCs w:val="0"/>
                <w:color w:val="0070C0"/>
              </w:rPr>
              <w:t>:</w:t>
            </w:r>
            <w:proofErr w:type="gramEnd"/>
            <w:r w:rsidR="005A2805" w:rsidRPr="00533CFD">
              <w:rPr>
                <w:rStyle w:val="BoxText"/>
                <w:color w:val="0070C0"/>
              </w:rPr>
              <w:t xml:space="preserve"> 1) </w:t>
            </w:r>
            <w:r w:rsidR="00C77307" w:rsidRPr="001B5EEC">
              <w:rPr>
                <w:rStyle w:val="BoxText"/>
                <w:bCs w:val="0"/>
                <w:color w:val="0070C0"/>
              </w:rPr>
              <w:t>document categorization per the NERC Rules of Procedure and the WECC Document Categorization Policy</w:t>
            </w:r>
            <w:r w:rsidR="005A2805" w:rsidRPr="001B5EEC">
              <w:rPr>
                <w:rStyle w:val="BoxText"/>
                <w:bCs w:val="0"/>
                <w:color w:val="0070C0"/>
              </w:rPr>
              <w:t>,</w:t>
            </w:r>
            <w:r w:rsidR="005A2805" w:rsidRPr="00533CFD">
              <w:rPr>
                <w:rStyle w:val="BoxText"/>
                <w:color w:val="0070C0"/>
              </w:rPr>
              <w:t xml:space="preserve"> 2)</w:t>
            </w:r>
            <w:r w:rsidR="00B44DA8" w:rsidRPr="00533CFD">
              <w:rPr>
                <w:rStyle w:val="BoxText"/>
                <w:color w:val="0070C0"/>
              </w:rPr>
              <w:t xml:space="preserve"> failure to impose a requirement, 3) </w:t>
            </w:r>
            <w:r w:rsidR="00E9672B" w:rsidRPr="00533CFD">
              <w:rPr>
                <w:rStyle w:val="BoxText"/>
                <w:color w:val="0070C0"/>
              </w:rPr>
              <w:t>ambiguity</w:t>
            </w:r>
            <w:r w:rsidR="00D10167" w:rsidRPr="00533CFD">
              <w:rPr>
                <w:rStyle w:val="BoxText"/>
                <w:color w:val="0070C0"/>
              </w:rPr>
              <w:t>, and 4) potential relevance</w:t>
            </w:r>
            <w:r w:rsidR="00E9672B" w:rsidRPr="00533CFD">
              <w:rPr>
                <w:rStyle w:val="BoxText"/>
                <w:color w:val="0070C0"/>
              </w:rPr>
              <w:t xml:space="preserve">. </w:t>
            </w:r>
          </w:p>
          <w:p w14:paraId="724C2FF4" w14:textId="0AFC6D8D" w:rsidR="00F073A6" w:rsidRPr="001B5EEC" w:rsidRDefault="007D2436" w:rsidP="008F647B">
            <w:pPr>
              <w:spacing w:after="120"/>
              <w:rPr>
                <w:bCs w:val="0"/>
                <w:i/>
                <w:color w:val="0070C0"/>
                <w:szCs w:val="24"/>
              </w:rPr>
            </w:pPr>
            <w:r w:rsidRPr="001B5EEC">
              <w:rPr>
                <w:i/>
                <w:color w:val="0070C0"/>
                <w:szCs w:val="24"/>
              </w:rPr>
              <w:t>Removal of WR2 and WR3:</w:t>
            </w:r>
            <w:r w:rsidR="00F073A6" w:rsidRPr="001B5EEC">
              <w:rPr>
                <w:i/>
                <w:color w:val="0070C0"/>
                <w:szCs w:val="24"/>
              </w:rPr>
              <w:t xml:space="preserve"> (For clarity, this response speaks of the as-approved language.)</w:t>
            </w:r>
          </w:p>
          <w:p w14:paraId="635A9B13" w14:textId="0E62757A" w:rsidR="007D2436" w:rsidRPr="001B5EEC" w:rsidRDefault="007D2436" w:rsidP="008F647B">
            <w:pPr>
              <w:spacing w:after="120"/>
              <w:rPr>
                <w:i/>
                <w:color w:val="0070C0"/>
                <w:szCs w:val="24"/>
              </w:rPr>
            </w:pPr>
            <w:r w:rsidRPr="001B5EEC">
              <w:rPr>
                <w:i/>
                <w:color w:val="0070C0"/>
                <w:szCs w:val="24"/>
              </w:rPr>
              <w:t xml:space="preserve">Classification </w:t>
            </w:r>
          </w:p>
          <w:p w14:paraId="5464F372" w14:textId="2CEDB248" w:rsidR="004A0BC8" w:rsidRDefault="004E7D99" w:rsidP="008F647B">
            <w:pPr>
              <w:spacing w:after="120"/>
              <w:rPr>
                <w:color w:val="0070C0"/>
                <w:szCs w:val="24"/>
              </w:rPr>
            </w:pPr>
            <w:r w:rsidRPr="001B5EEC">
              <w:rPr>
                <w:bCs w:val="0"/>
                <w:color w:val="0070C0"/>
                <w:szCs w:val="24"/>
              </w:rPr>
              <w:t xml:space="preserve">The DT proposed deletion of </w:t>
            </w:r>
            <w:r w:rsidR="007E11F2" w:rsidRPr="001B5EEC">
              <w:rPr>
                <w:color w:val="0070C0"/>
                <w:szCs w:val="24"/>
              </w:rPr>
              <w:t xml:space="preserve">WR2 and WR3 </w:t>
            </w:r>
            <w:r w:rsidR="004A0BC8" w:rsidRPr="001B5EEC">
              <w:rPr>
                <w:color w:val="0070C0"/>
                <w:szCs w:val="24"/>
              </w:rPr>
              <w:t>as</w:t>
            </w:r>
            <w:r w:rsidR="00677CE1">
              <w:rPr>
                <w:color w:val="0070C0"/>
                <w:szCs w:val="24"/>
              </w:rPr>
              <w:t xml:space="preserve"> </w:t>
            </w:r>
            <w:r w:rsidR="004A0BC8" w:rsidRPr="001B5EEC">
              <w:rPr>
                <w:color w:val="0070C0"/>
                <w:szCs w:val="24"/>
              </w:rPr>
              <w:t>approved</w:t>
            </w:r>
            <w:r w:rsidR="007E11F2" w:rsidRPr="001B5EEC">
              <w:rPr>
                <w:color w:val="0070C0"/>
                <w:szCs w:val="24"/>
              </w:rPr>
              <w:t xml:space="preserve"> </w:t>
            </w:r>
            <w:r w:rsidRPr="001B5EEC">
              <w:rPr>
                <w:color w:val="0070C0"/>
                <w:szCs w:val="24"/>
              </w:rPr>
              <w:t>because they fail</w:t>
            </w:r>
            <w:r w:rsidR="007E11F2" w:rsidRPr="001B5EEC">
              <w:rPr>
                <w:color w:val="0070C0"/>
                <w:szCs w:val="24"/>
              </w:rPr>
              <w:t xml:space="preserve"> to meet the </w:t>
            </w:r>
            <w:r w:rsidRPr="001B5EEC">
              <w:rPr>
                <w:color w:val="0070C0"/>
                <w:szCs w:val="24"/>
              </w:rPr>
              <w:t>definition</w:t>
            </w:r>
            <w:r w:rsidR="007E11F2" w:rsidRPr="001B5EEC">
              <w:rPr>
                <w:color w:val="0070C0"/>
                <w:szCs w:val="24"/>
              </w:rPr>
              <w:t xml:space="preserve">al requirements of a WECC Criterion as stated in the </w:t>
            </w:r>
            <w:r w:rsidRPr="001B5EEC">
              <w:rPr>
                <w:color w:val="0070C0"/>
                <w:szCs w:val="24"/>
              </w:rPr>
              <w:t>WECC Document Categorization Policy</w:t>
            </w:r>
            <w:r w:rsidR="004A0BC8" w:rsidRPr="001B5EEC">
              <w:rPr>
                <w:color w:val="0070C0"/>
                <w:szCs w:val="24"/>
              </w:rPr>
              <w:t xml:space="preserve"> (Policy)</w:t>
            </w:r>
            <w:r w:rsidRPr="001B5EEC">
              <w:rPr>
                <w:color w:val="0070C0"/>
                <w:szCs w:val="24"/>
              </w:rPr>
              <w:t>.</w:t>
            </w:r>
          </w:p>
          <w:p w14:paraId="017E463C" w14:textId="4F97A181" w:rsidR="008F14B2" w:rsidRDefault="004E7D99" w:rsidP="008F647B">
            <w:pPr>
              <w:spacing w:after="120"/>
              <w:rPr>
                <w:color w:val="0070C0"/>
                <w:szCs w:val="24"/>
              </w:rPr>
            </w:pPr>
            <w:r>
              <w:rPr>
                <w:bCs w:val="0"/>
                <w:color w:val="0070C0"/>
                <w:szCs w:val="24"/>
              </w:rPr>
              <w:t>By definition, a WECC Criterion is a document required to support a NERC Standard.</w:t>
            </w:r>
            <w:r w:rsidR="001B5EEC">
              <w:rPr>
                <w:bCs w:val="0"/>
                <w:color w:val="0070C0"/>
                <w:szCs w:val="24"/>
              </w:rPr>
              <w:t xml:space="preserve"> </w:t>
            </w:r>
            <w:r w:rsidR="008F14B2">
              <w:rPr>
                <w:bCs w:val="0"/>
                <w:color w:val="0070C0"/>
                <w:szCs w:val="24"/>
              </w:rPr>
              <w:t>Version 3.2, WR1 as</w:t>
            </w:r>
            <w:r w:rsidR="00472137">
              <w:rPr>
                <w:bCs w:val="0"/>
                <w:color w:val="0070C0"/>
                <w:szCs w:val="24"/>
              </w:rPr>
              <w:t xml:space="preserve"> </w:t>
            </w:r>
            <w:r w:rsidR="008F14B2">
              <w:rPr>
                <w:bCs w:val="0"/>
                <w:color w:val="0070C0"/>
                <w:szCs w:val="24"/>
              </w:rPr>
              <w:t>approved s</w:t>
            </w:r>
            <w:r>
              <w:rPr>
                <w:bCs w:val="0"/>
                <w:color w:val="0070C0"/>
                <w:szCs w:val="24"/>
              </w:rPr>
              <w:t>tates the applicable entity shall use WR1 as the default, unless a more (WR2</w:t>
            </w:r>
            <w:r w:rsidR="008F14B2">
              <w:rPr>
                <w:bCs w:val="0"/>
                <w:color w:val="0070C0"/>
                <w:szCs w:val="24"/>
              </w:rPr>
              <w:t xml:space="preserve"> as</w:t>
            </w:r>
            <w:r w:rsidR="00472137">
              <w:rPr>
                <w:bCs w:val="0"/>
                <w:color w:val="0070C0"/>
                <w:szCs w:val="24"/>
              </w:rPr>
              <w:t xml:space="preserve"> </w:t>
            </w:r>
            <w:r w:rsidR="008F14B2">
              <w:rPr>
                <w:bCs w:val="0"/>
                <w:color w:val="0070C0"/>
                <w:szCs w:val="24"/>
              </w:rPr>
              <w:t>approved</w:t>
            </w:r>
            <w:r>
              <w:rPr>
                <w:bCs w:val="0"/>
                <w:color w:val="0070C0"/>
                <w:szCs w:val="24"/>
              </w:rPr>
              <w:t>) or less (WR3</w:t>
            </w:r>
            <w:r w:rsidR="008F14B2">
              <w:rPr>
                <w:bCs w:val="0"/>
                <w:color w:val="0070C0"/>
                <w:szCs w:val="24"/>
              </w:rPr>
              <w:t xml:space="preserve"> as</w:t>
            </w:r>
            <w:r w:rsidR="00472137">
              <w:rPr>
                <w:bCs w:val="0"/>
                <w:color w:val="0070C0"/>
                <w:szCs w:val="24"/>
              </w:rPr>
              <w:t xml:space="preserve"> </w:t>
            </w:r>
            <w:r w:rsidR="008F14B2">
              <w:rPr>
                <w:bCs w:val="0"/>
                <w:color w:val="0070C0"/>
                <w:szCs w:val="24"/>
              </w:rPr>
              <w:t>approved</w:t>
            </w:r>
            <w:r>
              <w:rPr>
                <w:bCs w:val="0"/>
                <w:color w:val="0070C0"/>
                <w:szCs w:val="24"/>
              </w:rPr>
              <w:t>) stringent planning criteria is used</w:t>
            </w:r>
            <w:r w:rsidR="00472137">
              <w:rPr>
                <w:bCs w:val="0"/>
                <w:color w:val="0070C0"/>
                <w:szCs w:val="24"/>
              </w:rPr>
              <w:t>—</w:t>
            </w:r>
            <w:r>
              <w:rPr>
                <w:bCs w:val="0"/>
                <w:color w:val="0070C0"/>
                <w:szCs w:val="24"/>
              </w:rPr>
              <w:t>in which case</w:t>
            </w:r>
            <w:r w:rsidR="00472137">
              <w:rPr>
                <w:bCs w:val="0"/>
                <w:color w:val="0070C0"/>
                <w:szCs w:val="24"/>
              </w:rPr>
              <w:t>—</w:t>
            </w:r>
            <w:r w:rsidR="004A0BC8">
              <w:rPr>
                <w:bCs w:val="0"/>
                <w:color w:val="0070C0"/>
                <w:szCs w:val="24"/>
              </w:rPr>
              <w:t xml:space="preserve">they need </w:t>
            </w:r>
            <w:r w:rsidR="004A0BC8">
              <w:rPr>
                <w:bCs w:val="0"/>
                <w:color w:val="0070C0"/>
                <w:szCs w:val="24"/>
              </w:rPr>
              <w:lastRenderedPageBreak/>
              <w:t>to tell someone (WR5</w:t>
            </w:r>
            <w:r w:rsidR="008F14B2">
              <w:rPr>
                <w:bCs w:val="0"/>
                <w:color w:val="0070C0"/>
                <w:szCs w:val="24"/>
              </w:rPr>
              <w:t xml:space="preserve"> as</w:t>
            </w:r>
            <w:r w:rsidR="00924769">
              <w:rPr>
                <w:bCs w:val="0"/>
                <w:color w:val="0070C0"/>
                <w:szCs w:val="24"/>
              </w:rPr>
              <w:t xml:space="preserve"> </w:t>
            </w:r>
            <w:r w:rsidR="008F14B2">
              <w:rPr>
                <w:bCs w:val="0"/>
                <w:color w:val="0070C0"/>
                <w:szCs w:val="24"/>
              </w:rPr>
              <w:t>approved</w:t>
            </w:r>
            <w:r w:rsidR="004A0BC8">
              <w:rPr>
                <w:bCs w:val="0"/>
                <w:color w:val="0070C0"/>
                <w:szCs w:val="24"/>
              </w:rPr>
              <w:t>).</w:t>
            </w:r>
            <w:r w:rsidR="001B5EEC">
              <w:rPr>
                <w:bCs w:val="0"/>
                <w:color w:val="0070C0"/>
                <w:szCs w:val="24"/>
              </w:rPr>
              <w:t xml:space="preserve"> </w:t>
            </w:r>
            <w:r w:rsidR="004A0BC8">
              <w:rPr>
                <w:bCs w:val="0"/>
                <w:color w:val="0070C0"/>
                <w:szCs w:val="24"/>
              </w:rPr>
              <w:t xml:space="preserve">Restated, the applicable entity shall use WR1 </w:t>
            </w:r>
            <w:r w:rsidR="008F14B2">
              <w:rPr>
                <w:bCs w:val="0"/>
                <w:color w:val="0070C0"/>
                <w:szCs w:val="24"/>
              </w:rPr>
              <w:t>as</w:t>
            </w:r>
            <w:r w:rsidR="00924769">
              <w:rPr>
                <w:bCs w:val="0"/>
                <w:color w:val="0070C0"/>
                <w:szCs w:val="24"/>
              </w:rPr>
              <w:t xml:space="preserve"> </w:t>
            </w:r>
            <w:r w:rsidR="008F14B2">
              <w:rPr>
                <w:bCs w:val="0"/>
                <w:color w:val="0070C0"/>
                <w:szCs w:val="24"/>
              </w:rPr>
              <w:t xml:space="preserve">approved </w:t>
            </w:r>
            <w:r w:rsidR="004A0BC8">
              <w:rPr>
                <w:bCs w:val="0"/>
                <w:color w:val="0070C0"/>
                <w:szCs w:val="24"/>
              </w:rPr>
              <w:t>except when it does</w:t>
            </w:r>
            <w:r w:rsidR="00924769">
              <w:rPr>
                <w:bCs w:val="0"/>
                <w:color w:val="0070C0"/>
                <w:szCs w:val="24"/>
              </w:rPr>
              <w:t xml:space="preserve"> </w:t>
            </w:r>
            <w:r w:rsidR="004A0BC8">
              <w:rPr>
                <w:bCs w:val="0"/>
                <w:color w:val="0070C0"/>
                <w:szCs w:val="24"/>
              </w:rPr>
              <w:t>n</w:t>
            </w:r>
            <w:r w:rsidR="00924769">
              <w:rPr>
                <w:bCs w:val="0"/>
                <w:color w:val="0070C0"/>
                <w:szCs w:val="24"/>
              </w:rPr>
              <w:t>o</w:t>
            </w:r>
            <w:r w:rsidR="004A0BC8">
              <w:rPr>
                <w:bCs w:val="0"/>
                <w:color w:val="0070C0"/>
                <w:szCs w:val="24"/>
              </w:rPr>
              <w:t>t.</w:t>
            </w:r>
          </w:p>
          <w:p w14:paraId="4776B01B" w14:textId="36C3DF70" w:rsidR="00F073A6" w:rsidRDefault="004A0BC8" w:rsidP="008F647B">
            <w:pPr>
              <w:spacing w:after="120"/>
              <w:rPr>
                <w:bCs w:val="0"/>
                <w:color w:val="0070C0"/>
                <w:szCs w:val="24"/>
              </w:rPr>
            </w:pPr>
            <w:r>
              <w:rPr>
                <w:bCs w:val="0"/>
                <w:color w:val="0070C0"/>
                <w:szCs w:val="24"/>
              </w:rPr>
              <w:t xml:space="preserve">Because there is no cumulative mandate to act, </w:t>
            </w:r>
            <w:r w:rsidR="008F14B2">
              <w:rPr>
                <w:bCs w:val="0"/>
                <w:color w:val="0070C0"/>
                <w:szCs w:val="24"/>
              </w:rPr>
              <w:t>WR1, WR2, and WR3 as</w:t>
            </w:r>
            <w:r w:rsidR="00924769">
              <w:rPr>
                <w:bCs w:val="0"/>
                <w:color w:val="0070C0"/>
                <w:szCs w:val="24"/>
              </w:rPr>
              <w:t xml:space="preserve"> </w:t>
            </w:r>
            <w:r w:rsidR="008F14B2">
              <w:rPr>
                <w:bCs w:val="0"/>
                <w:color w:val="0070C0"/>
                <w:szCs w:val="24"/>
              </w:rPr>
              <w:t xml:space="preserve">approved </w:t>
            </w:r>
            <w:r>
              <w:rPr>
                <w:bCs w:val="0"/>
                <w:color w:val="0070C0"/>
                <w:szCs w:val="24"/>
              </w:rPr>
              <w:t>create no requirement at all.</w:t>
            </w:r>
            <w:r w:rsidR="001B5EEC">
              <w:rPr>
                <w:bCs w:val="0"/>
                <w:color w:val="0070C0"/>
                <w:szCs w:val="24"/>
              </w:rPr>
              <w:t xml:space="preserve"> </w:t>
            </w:r>
            <w:r w:rsidR="00F073A6">
              <w:rPr>
                <w:bCs w:val="0"/>
                <w:color w:val="0070C0"/>
                <w:szCs w:val="24"/>
              </w:rPr>
              <w:t>Rather than setting a requirement necessary to implement, to augment, or to comply with a NERC Reliability Standard (definition of a WECC Criterion), the as-approved language “pro</w:t>
            </w:r>
            <w:r w:rsidRPr="004A0BC8">
              <w:rPr>
                <w:color w:val="0070C0"/>
                <w:szCs w:val="24"/>
              </w:rPr>
              <w:t>mote</w:t>
            </w:r>
            <w:r w:rsidR="00F073A6">
              <w:rPr>
                <w:color w:val="0070C0"/>
                <w:szCs w:val="24"/>
              </w:rPr>
              <w:t>[s]</w:t>
            </w:r>
            <w:r w:rsidRPr="004A0BC8">
              <w:rPr>
                <w:color w:val="0070C0"/>
                <w:szCs w:val="24"/>
              </w:rPr>
              <w:t xml:space="preserve"> consistency among Members or</w:t>
            </w:r>
            <w:r>
              <w:rPr>
                <w:color w:val="0070C0"/>
                <w:szCs w:val="24"/>
              </w:rPr>
              <w:t>…</w:t>
            </w:r>
            <w:r w:rsidRPr="004A0BC8">
              <w:rPr>
                <w:color w:val="0070C0"/>
                <w:szCs w:val="24"/>
              </w:rPr>
              <w:t>identif</w:t>
            </w:r>
            <w:r w:rsidR="00F073A6">
              <w:rPr>
                <w:color w:val="0070C0"/>
                <w:szCs w:val="24"/>
              </w:rPr>
              <w:t xml:space="preserve">[ies] </w:t>
            </w:r>
            <w:r w:rsidRPr="004A0BC8">
              <w:rPr>
                <w:color w:val="0070C0"/>
                <w:szCs w:val="24"/>
              </w:rPr>
              <w:t>best practices</w:t>
            </w:r>
            <w:r>
              <w:rPr>
                <w:color w:val="0070C0"/>
                <w:szCs w:val="24"/>
              </w:rPr>
              <w:t>”</w:t>
            </w:r>
            <w:r w:rsidR="00F073A6">
              <w:rPr>
                <w:color w:val="0070C0"/>
                <w:szCs w:val="24"/>
              </w:rPr>
              <w:t xml:space="preserve"> </w:t>
            </w:r>
            <w:r>
              <w:rPr>
                <w:color w:val="0070C0"/>
                <w:szCs w:val="24"/>
              </w:rPr>
              <w:t>(WECC Guideline)</w:t>
            </w:r>
            <w:r w:rsidR="00F073A6">
              <w:rPr>
                <w:color w:val="0070C0"/>
                <w:szCs w:val="24"/>
              </w:rPr>
              <w:t>.</w:t>
            </w:r>
            <w:r w:rsidR="00F073A6">
              <w:rPr>
                <w:rStyle w:val="FootnoteReference"/>
                <w:color w:val="0070C0"/>
                <w:szCs w:val="24"/>
              </w:rPr>
              <w:footnoteReference w:id="2"/>
            </w:r>
            <w:r w:rsidR="00F073A6">
              <w:rPr>
                <w:color w:val="0070C0"/>
                <w:szCs w:val="24"/>
              </w:rPr>
              <w:t xml:space="preserve"> As such, the as-approved language should be removed from the WECC Criterion or remediated. </w:t>
            </w:r>
          </w:p>
          <w:p w14:paraId="7F9AA523" w14:textId="1199C634" w:rsidR="00F073A6" w:rsidRDefault="00F073A6" w:rsidP="008F647B">
            <w:pPr>
              <w:spacing w:after="120"/>
              <w:rPr>
                <w:color w:val="0070C0"/>
                <w:szCs w:val="24"/>
              </w:rPr>
            </w:pPr>
            <w:r w:rsidRPr="00F073A6">
              <w:rPr>
                <w:bCs w:val="0"/>
                <w:i/>
                <w:color w:val="0070C0"/>
                <w:szCs w:val="24"/>
              </w:rPr>
              <w:t xml:space="preserve">Remediation </w:t>
            </w:r>
            <w:r w:rsidR="008F14B2">
              <w:rPr>
                <w:bCs w:val="0"/>
                <w:i/>
                <w:color w:val="0070C0"/>
                <w:szCs w:val="24"/>
              </w:rPr>
              <w:t xml:space="preserve">of </w:t>
            </w:r>
            <w:r w:rsidR="005A289B">
              <w:rPr>
                <w:bCs w:val="0"/>
                <w:i/>
                <w:color w:val="0070C0"/>
                <w:szCs w:val="24"/>
              </w:rPr>
              <w:t xml:space="preserve">WR1, </w:t>
            </w:r>
            <w:r w:rsidRPr="00F073A6">
              <w:rPr>
                <w:bCs w:val="0"/>
                <w:i/>
                <w:color w:val="0070C0"/>
                <w:szCs w:val="24"/>
              </w:rPr>
              <w:t>WR2, WR3, and WR5</w:t>
            </w:r>
            <w:r w:rsidR="008F14B2">
              <w:rPr>
                <w:bCs w:val="0"/>
                <w:i/>
                <w:color w:val="0070C0"/>
                <w:szCs w:val="24"/>
              </w:rPr>
              <w:t xml:space="preserve"> as</w:t>
            </w:r>
            <w:r w:rsidR="00FD2A60">
              <w:rPr>
                <w:bCs w:val="0"/>
                <w:i/>
                <w:color w:val="0070C0"/>
                <w:szCs w:val="24"/>
              </w:rPr>
              <w:t xml:space="preserve"> </w:t>
            </w:r>
            <w:r w:rsidR="008F14B2">
              <w:rPr>
                <w:bCs w:val="0"/>
                <w:i/>
                <w:color w:val="0070C0"/>
                <w:szCs w:val="24"/>
              </w:rPr>
              <w:t>approved</w:t>
            </w:r>
          </w:p>
          <w:p w14:paraId="1A589D8A" w14:textId="367AD334" w:rsidR="00F073A6" w:rsidRDefault="00F073A6" w:rsidP="008F647B">
            <w:pPr>
              <w:spacing w:after="120"/>
              <w:rPr>
                <w:bCs w:val="0"/>
                <w:color w:val="0070C0"/>
                <w:szCs w:val="24"/>
              </w:rPr>
            </w:pPr>
            <w:r>
              <w:rPr>
                <w:bCs w:val="0"/>
                <w:color w:val="0070C0"/>
                <w:szCs w:val="24"/>
              </w:rPr>
              <w:t>After consideration of comments, the DT wishes to retain the value of the language while also remedying the concern.</w:t>
            </w:r>
            <w:r w:rsidR="001B5EEC">
              <w:rPr>
                <w:bCs w:val="0"/>
                <w:color w:val="0070C0"/>
                <w:szCs w:val="24"/>
              </w:rPr>
              <w:t xml:space="preserve"> </w:t>
            </w:r>
            <w:r>
              <w:rPr>
                <w:bCs w:val="0"/>
                <w:color w:val="0070C0"/>
                <w:szCs w:val="24"/>
              </w:rPr>
              <w:t xml:space="preserve">The DT proposes the following remedy: </w:t>
            </w:r>
          </w:p>
          <w:p w14:paraId="2DCF9EAD" w14:textId="7B2F36DF" w:rsidR="005A289B" w:rsidRDefault="005A289B" w:rsidP="008F647B">
            <w:pPr>
              <w:spacing w:after="120"/>
              <w:rPr>
                <w:color w:val="0070C0"/>
                <w:szCs w:val="24"/>
              </w:rPr>
            </w:pPr>
            <w:r>
              <w:rPr>
                <w:bCs w:val="0"/>
                <w:color w:val="0070C0"/>
                <w:szCs w:val="24"/>
              </w:rPr>
              <w:t>(</w:t>
            </w:r>
            <w:r w:rsidR="00F073A6">
              <w:rPr>
                <w:bCs w:val="0"/>
                <w:color w:val="0070C0"/>
                <w:szCs w:val="24"/>
              </w:rPr>
              <w:t>WR1</w:t>
            </w:r>
            <w:r>
              <w:rPr>
                <w:bCs w:val="0"/>
                <w:color w:val="0070C0"/>
                <w:szCs w:val="24"/>
              </w:rPr>
              <w:t>)</w:t>
            </w:r>
            <w:r w:rsidR="001B5EEC">
              <w:rPr>
                <w:bCs w:val="0"/>
                <w:color w:val="0070C0"/>
                <w:szCs w:val="24"/>
              </w:rPr>
              <w:t xml:space="preserve"> </w:t>
            </w:r>
            <w:r w:rsidR="00913528">
              <w:rPr>
                <w:bCs w:val="0"/>
                <w:color w:val="0070C0"/>
                <w:szCs w:val="24"/>
              </w:rPr>
              <w:t>WR1 as</w:t>
            </w:r>
            <w:r w:rsidR="00FD2A60">
              <w:rPr>
                <w:bCs w:val="0"/>
                <w:color w:val="0070C0"/>
                <w:szCs w:val="24"/>
              </w:rPr>
              <w:t xml:space="preserve"> </w:t>
            </w:r>
            <w:r w:rsidR="00913528">
              <w:rPr>
                <w:bCs w:val="0"/>
                <w:color w:val="0070C0"/>
                <w:szCs w:val="24"/>
              </w:rPr>
              <w:t>approved is kept as</w:t>
            </w:r>
            <w:r w:rsidR="00FD2A60">
              <w:rPr>
                <w:bCs w:val="0"/>
                <w:color w:val="0070C0"/>
                <w:szCs w:val="24"/>
              </w:rPr>
              <w:t xml:space="preserve"> </w:t>
            </w:r>
            <w:r w:rsidR="00913528">
              <w:rPr>
                <w:bCs w:val="0"/>
                <w:color w:val="0070C0"/>
                <w:szCs w:val="24"/>
              </w:rPr>
              <w:t>approved</w:t>
            </w:r>
            <w:r w:rsidR="00FD2A60">
              <w:rPr>
                <w:bCs w:val="0"/>
                <w:color w:val="0070C0"/>
                <w:szCs w:val="24"/>
              </w:rPr>
              <w:t>,</w:t>
            </w:r>
            <w:r w:rsidR="00913528">
              <w:rPr>
                <w:bCs w:val="0"/>
                <w:color w:val="0070C0"/>
                <w:szCs w:val="24"/>
              </w:rPr>
              <w:t xml:space="preserve"> </w:t>
            </w:r>
            <w:r w:rsidR="00F073A6">
              <w:rPr>
                <w:bCs w:val="0"/>
                <w:color w:val="0070C0"/>
                <w:szCs w:val="24"/>
              </w:rPr>
              <w:t xml:space="preserve">but the </w:t>
            </w:r>
            <w:r>
              <w:rPr>
                <w:bCs w:val="0"/>
                <w:color w:val="0070C0"/>
                <w:szCs w:val="24"/>
              </w:rPr>
              <w:t xml:space="preserve">phrase </w:t>
            </w:r>
            <w:r w:rsidR="00F073A6">
              <w:rPr>
                <w:bCs w:val="0"/>
                <w:color w:val="0070C0"/>
                <w:szCs w:val="24"/>
              </w:rPr>
              <w:t>“</w:t>
            </w:r>
            <w:r w:rsidR="00F073A6" w:rsidRPr="00F073A6">
              <w:rPr>
                <w:bCs w:val="0"/>
                <w:color w:val="0070C0"/>
                <w:szCs w:val="24"/>
              </w:rPr>
              <w:t>unless otherwise specified in accordance with Requirements WR2 and WR3</w:t>
            </w:r>
            <w:r w:rsidR="00F073A6">
              <w:rPr>
                <w:bCs w:val="0"/>
                <w:color w:val="0070C0"/>
                <w:szCs w:val="24"/>
              </w:rPr>
              <w:t>” has been deleted.</w:t>
            </w:r>
            <w:r w:rsidR="001B5EEC">
              <w:rPr>
                <w:bCs w:val="0"/>
                <w:color w:val="0070C0"/>
                <w:szCs w:val="24"/>
              </w:rPr>
              <w:t xml:space="preserve"> </w:t>
            </w:r>
            <w:r>
              <w:rPr>
                <w:bCs w:val="0"/>
                <w:color w:val="0070C0"/>
                <w:szCs w:val="24"/>
              </w:rPr>
              <w:t xml:space="preserve">This creates a mandate to always use WR1 </w:t>
            </w:r>
            <w:r w:rsidR="008F14B2">
              <w:rPr>
                <w:bCs w:val="0"/>
                <w:color w:val="0070C0"/>
                <w:szCs w:val="24"/>
              </w:rPr>
              <w:t>as</w:t>
            </w:r>
            <w:r w:rsidR="00FD2A60">
              <w:rPr>
                <w:bCs w:val="0"/>
                <w:color w:val="0070C0"/>
                <w:szCs w:val="24"/>
              </w:rPr>
              <w:t xml:space="preserve"> </w:t>
            </w:r>
            <w:r w:rsidR="008F14B2">
              <w:rPr>
                <w:bCs w:val="0"/>
                <w:color w:val="0070C0"/>
                <w:szCs w:val="24"/>
              </w:rPr>
              <w:t xml:space="preserve">proposed </w:t>
            </w:r>
            <w:r>
              <w:rPr>
                <w:bCs w:val="0"/>
                <w:color w:val="0070C0"/>
                <w:szCs w:val="24"/>
              </w:rPr>
              <w:t>as the default base planning criteria and meets the definition of a WECC Criterion.</w:t>
            </w:r>
          </w:p>
          <w:p w14:paraId="57E334CB" w14:textId="7CB668C5" w:rsidR="00B44DA8" w:rsidRDefault="00B44DA8" w:rsidP="008F647B">
            <w:pPr>
              <w:spacing w:after="120"/>
              <w:rPr>
                <w:bCs w:val="0"/>
                <w:color w:val="0070C0"/>
              </w:rPr>
            </w:pPr>
            <w:r w:rsidRPr="00B44DA8">
              <w:rPr>
                <w:i/>
                <w:color w:val="0070C0"/>
                <w:szCs w:val="24"/>
              </w:rPr>
              <w:t>F</w:t>
            </w:r>
            <w:r w:rsidRPr="00B44DA8">
              <w:rPr>
                <w:i/>
                <w:color w:val="0070C0"/>
              </w:rPr>
              <w:t>ailure to Impose a Requirement</w:t>
            </w:r>
          </w:p>
          <w:p w14:paraId="73F7AD99" w14:textId="3D7107E0" w:rsidR="00D524F1" w:rsidRDefault="005A289B" w:rsidP="008F647B">
            <w:pPr>
              <w:spacing w:after="120"/>
              <w:rPr>
                <w:color w:val="0070C0"/>
                <w:szCs w:val="24"/>
              </w:rPr>
            </w:pPr>
            <w:r>
              <w:rPr>
                <w:bCs w:val="0"/>
                <w:color w:val="0070C0"/>
                <w:szCs w:val="24"/>
              </w:rPr>
              <w:t>(WR2</w:t>
            </w:r>
            <w:r w:rsidR="001C2248">
              <w:rPr>
                <w:bCs w:val="0"/>
                <w:color w:val="0070C0"/>
                <w:szCs w:val="24"/>
              </w:rPr>
              <w:t>-WR3</w:t>
            </w:r>
            <w:r>
              <w:rPr>
                <w:bCs w:val="0"/>
                <w:color w:val="0070C0"/>
                <w:szCs w:val="24"/>
              </w:rPr>
              <w:t xml:space="preserve">) </w:t>
            </w:r>
            <w:r w:rsidR="00D524F1">
              <w:rPr>
                <w:bCs w:val="0"/>
                <w:color w:val="0070C0"/>
                <w:szCs w:val="24"/>
              </w:rPr>
              <w:t>WR2</w:t>
            </w:r>
            <w:r w:rsidR="001C2248">
              <w:rPr>
                <w:bCs w:val="0"/>
                <w:color w:val="0070C0"/>
                <w:szCs w:val="24"/>
              </w:rPr>
              <w:t>-WR3</w:t>
            </w:r>
            <w:r w:rsidR="00D524F1">
              <w:rPr>
                <w:bCs w:val="0"/>
                <w:color w:val="0070C0"/>
                <w:szCs w:val="24"/>
              </w:rPr>
              <w:t xml:space="preserve"> as</w:t>
            </w:r>
            <w:r w:rsidR="0037512B">
              <w:rPr>
                <w:bCs w:val="0"/>
                <w:color w:val="0070C0"/>
                <w:szCs w:val="24"/>
              </w:rPr>
              <w:t xml:space="preserve"> </w:t>
            </w:r>
            <w:r w:rsidR="00D524F1">
              <w:rPr>
                <w:bCs w:val="0"/>
                <w:color w:val="0070C0"/>
                <w:szCs w:val="24"/>
              </w:rPr>
              <w:t xml:space="preserve">approved is a carry-over from </w:t>
            </w:r>
            <w:r w:rsidR="00D524F1" w:rsidRPr="00D524F1">
              <w:rPr>
                <w:bCs w:val="0"/>
                <w:color w:val="0070C0"/>
                <w:szCs w:val="24"/>
              </w:rPr>
              <w:t xml:space="preserve">TPL – (001 thru 004) – WECC – 1 – CR </w:t>
            </w:r>
            <w:r w:rsidR="00D524F1" w:rsidRPr="00D524F1">
              <w:rPr>
                <w:rFonts w:ascii="Times New Roman" w:hAnsi="Times New Roman" w:cs="Times New Roman"/>
                <w:bCs w:val="0"/>
                <w:color w:val="0070C0"/>
                <w:szCs w:val="24"/>
              </w:rPr>
              <w:t>─</w:t>
            </w:r>
            <w:r w:rsidR="00D524F1" w:rsidRPr="00D524F1">
              <w:rPr>
                <w:bCs w:val="0"/>
                <w:color w:val="0070C0"/>
                <w:szCs w:val="24"/>
              </w:rPr>
              <w:t xml:space="preserve"> System Performance Criteria, </w:t>
            </w:r>
            <w:r w:rsidR="00D524F1">
              <w:rPr>
                <w:bCs w:val="0"/>
                <w:color w:val="0070C0"/>
                <w:szCs w:val="24"/>
              </w:rPr>
              <w:t xml:space="preserve">WRS2, </w:t>
            </w:r>
            <w:r w:rsidR="00D524F1" w:rsidRPr="001C2248">
              <w:rPr>
                <w:bCs w:val="0"/>
                <w:i/>
                <w:color w:val="0070C0"/>
                <w:szCs w:val="24"/>
                <w:u w:val="single"/>
              </w:rPr>
              <w:t>April 18, 2008.</w:t>
            </w:r>
            <w:r w:rsidR="00D524F1" w:rsidRPr="001C2248">
              <w:rPr>
                <w:rStyle w:val="FootnoteReference"/>
                <w:bCs w:val="0"/>
                <w:i/>
                <w:color w:val="0070C0"/>
                <w:szCs w:val="24"/>
                <w:u w:val="single"/>
              </w:rPr>
              <w:footnoteReference w:id="3"/>
            </w:r>
            <w:r w:rsidR="001C2248">
              <w:rPr>
                <w:bCs w:val="0"/>
                <w:i/>
                <w:color w:val="0070C0"/>
                <w:szCs w:val="24"/>
                <w:u w:val="single"/>
              </w:rPr>
              <w:t xml:space="preserve"> </w:t>
            </w:r>
          </w:p>
          <w:p w14:paraId="4468634A" w14:textId="24447E93" w:rsidR="00782755" w:rsidRDefault="00E9672B" w:rsidP="008F647B">
            <w:pPr>
              <w:spacing w:after="120"/>
              <w:rPr>
                <w:bCs w:val="0"/>
                <w:i/>
                <w:color w:val="0070C0"/>
                <w:szCs w:val="24"/>
              </w:rPr>
            </w:pPr>
            <w:r>
              <w:rPr>
                <w:color w:val="0070C0"/>
                <w:szCs w:val="24"/>
              </w:rPr>
              <w:t>Neither WR2 nor WR3 require an entity to perform a task.</w:t>
            </w:r>
            <w:r w:rsidR="001B5EEC">
              <w:rPr>
                <w:color w:val="0070C0"/>
                <w:szCs w:val="24"/>
              </w:rPr>
              <w:t xml:space="preserve"> </w:t>
            </w:r>
            <w:r>
              <w:rPr>
                <w:color w:val="0070C0"/>
                <w:szCs w:val="24"/>
              </w:rPr>
              <w:t>Rather, both create an allowance coupled with an and-if statement.</w:t>
            </w:r>
            <w:r w:rsidR="001B5EEC">
              <w:rPr>
                <w:color w:val="0070C0"/>
                <w:szCs w:val="24"/>
              </w:rPr>
              <w:t xml:space="preserve"> </w:t>
            </w:r>
            <w:r>
              <w:rPr>
                <w:color w:val="0070C0"/>
                <w:szCs w:val="24"/>
              </w:rPr>
              <w:t>Because these as-approved statements do not create a requirement</w:t>
            </w:r>
            <w:r w:rsidR="00D07301">
              <w:rPr>
                <w:color w:val="0070C0"/>
                <w:szCs w:val="24"/>
              </w:rPr>
              <w:t xml:space="preserve"> (rather they create a permission)</w:t>
            </w:r>
            <w:r>
              <w:rPr>
                <w:color w:val="0070C0"/>
                <w:szCs w:val="24"/>
              </w:rPr>
              <w:t>, they are best categorized as guidance</w:t>
            </w:r>
            <w:r w:rsidR="0037512B">
              <w:rPr>
                <w:color w:val="0070C0"/>
                <w:szCs w:val="24"/>
              </w:rPr>
              <w:t>,</w:t>
            </w:r>
            <w:r>
              <w:rPr>
                <w:color w:val="0070C0"/>
                <w:szCs w:val="24"/>
              </w:rPr>
              <w:t xml:space="preserve"> </w:t>
            </w:r>
            <w:r w:rsidR="00D07301">
              <w:rPr>
                <w:color w:val="0070C0"/>
                <w:szCs w:val="24"/>
              </w:rPr>
              <w:t xml:space="preserve">better </w:t>
            </w:r>
            <w:r>
              <w:rPr>
                <w:color w:val="0070C0"/>
                <w:szCs w:val="24"/>
              </w:rPr>
              <w:t>fitting the definition of a WECC Guideline.</w:t>
            </w:r>
            <w:r w:rsidR="001B5EEC">
              <w:rPr>
                <w:color w:val="0070C0"/>
                <w:szCs w:val="24"/>
              </w:rPr>
              <w:t xml:space="preserve"> </w:t>
            </w:r>
            <w:r w:rsidR="00D07301">
              <w:rPr>
                <w:color w:val="0070C0"/>
                <w:szCs w:val="24"/>
              </w:rPr>
              <w:t xml:space="preserve">This type of guidance may best be found in </w:t>
            </w:r>
            <w:r w:rsidR="00D07301" w:rsidRPr="00D07301">
              <w:rPr>
                <w:color w:val="0070C0"/>
                <w:szCs w:val="24"/>
              </w:rPr>
              <w:t xml:space="preserve">WECC’s Project Coordination, Path </w:t>
            </w:r>
            <w:r w:rsidR="00D07301" w:rsidRPr="00D07301">
              <w:rPr>
                <w:color w:val="0070C0"/>
                <w:szCs w:val="24"/>
              </w:rPr>
              <w:lastRenderedPageBreak/>
              <w:t>Rating and Progress Report Processes</w:t>
            </w:r>
            <w:r w:rsidR="00D07301">
              <w:rPr>
                <w:color w:val="0070C0"/>
                <w:szCs w:val="24"/>
              </w:rPr>
              <w:t xml:space="preserve"> </w:t>
            </w:r>
            <w:r w:rsidR="00325D2C">
              <w:rPr>
                <w:color w:val="0070C0"/>
                <w:szCs w:val="24"/>
              </w:rPr>
              <w:t xml:space="preserve">(Process) </w:t>
            </w:r>
            <w:r w:rsidR="00D07301">
              <w:rPr>
                <w:color w:val="0070C0"/>
                <w:szCs w:val="24"/>
              </w:rPr>
              <w:t>wherein forums and processes to reach agreement are directly discusse</w:t>
            </w:r>
            <w:r w:rsidR="002A10EA">
              <w:rPr>
                <w:color w:val="0070C0"/>
                <w:szCs w:val="24"/>
              </w:rPr>
              <w:t>d</w:t>
            </w:r>
            <w:r w:rsidR="00D07301">
              <w:rPr>
                <w:color w:val="0070C0"/>
                <w:szCs w:val="24"/>
              </w:rPr>
              <w:t>.</w:t>
            </w:r>
            <w:r w:rsidR="001B5EEC">
              <w:rPr>
                <w:color w:val="0070C0"/>
                <w:szCs w:val="24"/>
              </w:rPr>
              <w:t xml:space="preserve"> </w:t>
            </w:r>
            <w:r w:rsidR="00D07301">
              <w:rPr>
                <w:color w:val="0070C0"/>
                <w:szCs w:val="24"/>
              </w:rPr>
              <w:t>(See 2.</w:t>
            </w:r>
            <w:r w:rsidR="001B5EEC">
              <w:rPr>
                <w:color w:val="0070C0"/>
                <w:szCs w:val="24"/>
              </w:rPr>
              <w:t xml:space="preserve"> </w:t>
            </w:r>
            <w:r w:rsidR="00D07301">
              <w:rPr>
                <w:color w:val="0070C0"/>
                <w:szCs w:val="24"/>
              </w:rPr>
              <w:t>Process Outline.)</w:t>
            </w:r>
            <w:r w:rsidR="001B5EEC">
              <w:rPr>
                <w:color w:val="0070C0"/>
                <w:szCs w:val="24"/>
              </w:rPr>
              <w:t xml:space="preserve"> </w:t>
            </w:r>
            <w:r w:rsidR="00325D2C">
              <w:rPr>
                <w:color w:val="0070C0"/>
                <w:szCs w:val="24"/>
              </w:rPr>
              <w:t xml:space="preserve">Of note, the Process is categorized as a WECC Guideline. </w:t>
            </w:r>
          </w:p>
          <w:p w14:paraId="26C65C04" w14:textId="2A7C463F" w:rsidR="00B44DA8" w:rsidRDefault="00E9672B" w:rsidP="008F647B">
            <w:pPr>
              <w:spacing w:after="120"/>
              <w:rPr>
                <w:color w:val="0070C0"/>
                <w:szCs w:val="24"/>
              </w:rPr>
            </w:pPr>
            <w:r>
              <w:rPr>
                <w:i/>
                <w:color w:val="0070C0"/>
                <w:szCs w:val="24"/>
              </w:rPr>
              <w:t>Ambiguity</w:t>
            </w:r>
            <w:r w:rsidR="00325D2C">
              <w:rPr>
                <w:i/>
                <w:color w:val="0070C0"/>
                <w:szCs w:val="24"/>
              </w:rPr>
              <w:t xml:space="preserve"> of Outcome</w:t>
            </w:r>
            <w:r w:rsidR="001B5EEC">
              <w:rPr>
                <w:i/>
                <w:color w:val="0070C0"/>
                <w:szCs w:val="24"/>
              </w:rPr>
              <w:t xml:space="preserve"> </w:t>
            </w:r>
          </w:p>
          <w:p w14:paraId="72E2B281" w14:textId="271B8061" w:rsidR="00E9672B" w:rsidRDefault="00E9672B" w:rsidP="008F647B">
            <w:pPr>
              <w:spacing w:after="120"/>
              <w:rPr>
                <w:color w:val="0070C0"/>
                <w:szCs w:val="24"/>
              </w:rPr>
            </w:pPr>
            <w:r>
              <w:rPr>
                <w:bCs w:val="0"/>
                <w:color w:val="0070C0"/>
                <w:szCs w:val="24"/>
              </w:rPr>
              <w:t xml:space="preserve">Because </w:t>
            </w:r>
            <w:r w:rsidR="00B44DA8">
              <w:rPr>
                <w:bCs w:val="0"/>
                <w:color w:val="0070C0"/>
                <w:szCs w:val="24"/>
              </w:rPr>
              <w:t>WR2/WR3 as</w:t>
            </w:r>
            <w:r w:rsidR="002A10EA">
              <w:rPr>
                <w:bCs w:val="0"/>
                <w:color w:val="0070C0"/>
                <w:szCs w:val="24"/>
              </w:rPr>
              <w:t xml:space="preserve"> </w:t>
            </w:r>
            <w:r w:rsidR="00B44DA8">
              <w:rPr>
                <w:bCs w:val="0"/>
                <w:color w:val="0070C0"/>
                <w:szCs w:val="24"/>
              </w:rPr>
              <w:t xml:space="preserve">approved </w:t>
            </w:r>
            <w:r>
              <w:rPr>
                <w:bCs w:val="0"/>
                <w:color w:val="0070C0"/>
                <w:szCs w:val="24"/>
              </w:rPr>
              <w:t xml:space="preserve">can be alternatively interpreted, they create ambiguity. </w:t>
            </w:r>
          </w:p>
          <w:p w14:paraId="222A3D0C" w14:textId="747A1042" w:rsidR="003F4AD9" w:rsidRDefault="003F4AD9" w:rsidP="008F647B">
            <w:pPr>
              <w:spacing w:after="120"/>
              <w:rPr>
                <w:bCs w:val="0"/>
                <w:color w:val="0070C0"/>
                <w:szCs w:val="24"/>
              </w:rPr>
            </w:pPr>
            <w:r>
              <w:rPr>
                <w:color w:val="0070C0"/>
                <w:szCs w:val="24"/>
              </w:rPr>
              <w:t>In WR2 as</w:t>
            </w:r>
            <w:r w:rsidR="002A10EA">
              <w:rPr>
                <w:color w:val="0070C0"/>
                <w:szCs w:val="24"/>
              </w:rPr>
              <w:t xml:space="preserve"> </w:t>
            </w:r>
            <w:r>
              <w:rPr>
                <w:color w:val="0070C0"/>
                <w:szCs w:val="24"/>
              </w:rPr>
              <w:t xml:space="preserve">approved, </w:t>
            </w:r>
            <w:r w:rsidR="00E9672B">
              <w:rPr>
                <w:color w:val="0070C0"/>
                <w:szCs w:val="24"/>
              </w:rPr>
              <w:t>it</w:t>
            </w:r>
            <w:r w:rsidR="002A10EA">
              <w:rPr>
                <w:color w:val="0070C0"/>
                <w:szCs w:val="24"/>
              </w:rPr>
              <w:t xml:space="preserve"> i</w:t>
            </w:r>
            <w:r w:rsidR="00E9672B">
              <w:rPr>
                <w:color w:val="0070C0"/>
                <w:szCs w:val="24"/>
              </w:rPr>
              <w:t>s unclear what happens when Entity 1 see</w:t>
            </w:r>
            <w:r>
              <w:rPr>
                <w:color w:val="0070C0"/>
                <w:szCs w:val="24"/>
              </w:rPr>
              <w:t>s</w:t>
            </w:r>
            <w:r w:rsidR="00E9672B">
              <w:rPr>
                <w:color w:val="0070C0"/>
                <w:szCs w:val="24"/>
              </w:rPr>
              <w:t xml:space="preserve"> the need to use more stringent planning criteria</w:t>
            </w:r>
            <w:r w:rsidR="008E5A62">
              <w:rPr>
                <w:color w:val="0070C0"/>
                <w:szCs w:val="24"/>
              </w:rPr>
              <w:t>,</w:t>
            </w:r>
            <w:r w:rsidR="00E9672B">
              <w:rPr>
                <w:color w:val="0070C0"/>
                <w:szCs w:val="24"/>
              </w:rPr>
              <w:t xml:space="preserve"> but Entity 2 disagrees.</w:t>
            </w:r>
            <w:r w:rsidR="001B5EEC">
              <w:rPr>
                <w:color w:val="0070C0"/>
                <w:szCs w:val="24"/>
              </w:rPr>
              <w:t xml:space="preserve"> </w:t>
            </w:r>
            <w:r w:rsidR="00E9672B">
              <w:rPr>
                <w:color w:val="0070C0"/>
                <w:szCs w:val="24"/>
              </w:rPr>
              <w:t xml:space="preserve">If Entity 2 refuses agreement, does this mean Entity 2 now controls the planning parameters of Entity 1? </w:t>
            </w:r>
            <w:r>
              <w:rPr>
                <w:color w:val="0070C0"/>
                <w:szCs w:val="24"/>
              </w:rPr>
              <w:t>If Entity 1 uses the more stringent criteria without Entity 2’s agreement, does Entity 2 force Entity 1 into non-adherence?</w:t>
            </w:r>
            <w:r w:rsidR="001B5EEC">
              <w:rPr>
                <w:color w:val="0070C0"/>
                <w:szCs w:val="24"/>
              </w:rPr>
              <w:t xml:space="preserve"> </w:t>
            </w:r>
            <w:r>
              <w:rPr>
                <w:color w:val="0070C0"/>
                <w:szCs w:val="24"/>
              </w:rPr>
              <w:t>If so, it places Entity 1 in an untenable position of seeking adherence over reliability.</w:t>
            </w:r>
            <w:r w:rsidR="001B5EEC">
              <w:rPr>
                <w:color w:val="0070C0"/>
                <w:szCs w:val="24"/>
              </w:rPr>
              <w:t xml:space="preserve"> </w:t>
            </w:r>
            <w:r w:rsidR="00DF32C3">
              <w:rPr>
                <w:color w:val="0070C0"/>
                <w:szCs w:val="24"/>
              </w:rPr>
              <w:t>Finally, because the language requires agreement between “</w:t>
            </w:r>
            <w:r w:rsidR="00DF32C3" w:rsidRPr="00DF32C3">
              <w:rPr>
                <w:color w:val="0070C0"/>
                <w:szCs w:val="24"/>
              </w:rPr>
              <w:t>all other planning entities to which the more stringent</w:t>
            </w:r>
            <w:r w:rsidR="00DF32C3">
              <w:rPr>
                <w:color w:val="0070C0"/>
                <w:szCs w:val="24"/>
              </w:rPr>
              <w:t xml:space="preserve"> </w:t>
            </w:r>
            <w:r w:rsidR="00DF32C3" w:rsidRPr="00DF32C3">
              <w:rPr>
                <w:color w:val="0070C0"/>
                <w:szCs w:val="24"/>
              </w:rPr>
              <w:t>criterion was applied</w:t>
            </w:r>
            <w:r w:rsidR="00DF32C3">
              <w:rPr>
                <w:color w:val="0070C0"/>
                <w:szCs w:val="24"/>
              </w:rPr>
              <w:t>” what is the outcome if only one of ten applicable entities disagrees?</w:t>
            </w:r>
            <w:r w:rsidR="001B5EEC">
              <w:rPr>
                <w:color w:val="0070C0"/>
                <w:szCs w:val="24"/>
              </w:rPr>
              <w:t xml:space="preserve"> </w:t>
            </w:r>
            <w:r w:rsidR="00DF32C3">
              <w:rPr>
                <w:color w:val="0070C0"/>
                <w:szCs w:val="24"/>
              </w:rPr>
              <w:t>Does that action hold hostage the other nine?</w:t>
            </w:r>
            <w:r w:rsidR="001B5EEC">
              <w:rPr>
                <w:color w:val="0070C0"/>
                <w:szCs w:val="24"/>
              </w:rPr>
              <w:t xml:space="preserve"> </w:t>
            </w:r>
            <w:r w:rsidR="00DF32C3">
              <w:rPr>
                <w:color w:val="0070C0"/>
                <w:szCs w:val="24"/>
              </w:rPr>
              <w:t xml:space="preserve">Because the language and its outcome are ambiguous it should be deleted. </w:t>
            </w:r>
          </w:p>
          <w:p w14:paraId="1B332EC7" w14:textId="7031BD09" w:rsidR="003F4AD9" w:rsidRDefault="003F4AD9" w:rsidP="008F647B">
            <w:pPr>
              <w:spacing w:after="120"/>
              <w:rPr>
                <w:bCs w:val="0"/>
                <w:color w:val="0070C0"/>
                <w:szCs w:val="24"/>
              </w:rPr>
            </w:pPr>
            <w:r>
              <w:rPr>
                <w:color w:val="0070C0"/>
                <w:szCs w:val="24"/>
              </w:rPr>
              <w:t xml:space="preserve">If WR2 </w:t>
            </w:r>
            <w:r w:rsidR="00312BD8">
              <w:rPr>
                <w:color w:val="0070C0"/>
                <w:szCs w:val="24"/>
              </w:rPr>
              <w:t>as approved</w:t>
            </w:r>
            <w:r>
              <w:rPr>
                <w:color w:val="0070C0"/>
                <w:szCs w:val="24"/>
              </w:rPr>
              <w:t xml:space="preserve"> is deleted, its absence neither requires nor prohibits the use of more stringent planning criteria.</w:t>
            </w:r>
            <w:r w:rsidR="001B5EEC">
              <w:rPr>
                <w:color w:val="0070C0"/>
                <w:szCs w:val="24"/>
              </w:rPr>
              <w:t xml:space="preserve"> </w:t>
            </w:r>
            <w:r>
              <w:rPr>
                <w:color w:val="0070C0"/>
                <w:szCs w:val="24"/>
              </w:rPr>
              <w:t>Because “agreement” is bilateral it is best arranged in a document not predicated on unilateral performance</w:t>
            </w:r>
            <w:r w:rsidR="00DF32C3">
              <w:rPr>
                <w:color w:val="0070C0"/>
                <w:szCs w:val="24"/>
              </w:rPr>
              <w:t xml:space="preserve"> such as a requirement</w:t>
            </w:r>
            <w:r>
              <w:rPr>
                <w:color w:val="0070C0"/>
                <w:szCs w:val="24"/>
              </w:rPr>
              <w:t>.</w:t>
            </w:r>
            <w:r w:rsidR="001B5EEC">
              <w:rPr>
                <w:color w:val="0070C0"/>
                <w:szCs w:val="24"/>
              </w:rPr>
              <w:t xml:space="preserve"> </w:t>
            </w:r>
          </w:p>
          <w:p w14:paraId="43FD9282" w14:textId="0CC5C2E4" w:rsidR="00D10167" w:rsidRDefault="00DF32C3" w:rsidP="008F647B">
            <w:pPr>
              <w:spacing w:after="120"/>
              <w:rPr>
                <w:color w:val="0070C0"/>
                <w:szCs w:val="24"/>
              </w:rPr>
            </w:pPr>
            <w:r>
              <w:rPr>
                <w:bCs w:val="0"/>
                <w:color w:val="0070C0"/>
                <w:szCs w:val="24"/>
              </w:rPr>
              <w:t xml:space="preserve">Although the same or similar concerns apply to WR3 as-approved, by making WR1 as-proposed the minimum acceptable threshold, WR3 as-approved </w:t>
            </w:r>
            <w:r w:rsidR="00D10167">
              <w:rPr>
                <w:bCs w:val="0"/>
                <w:color w:val="0070C0"/>
                <w:szCs w:val="24"/>
              </w:rPr>
              <w:t>is no longer needed as there is no criteria less stringent than WR1 as-proposed.</w:t>
            </w:r>
            <w:r w:rsidR="001B5EEC">
              <w:rPr>
                <w:bCs w:val="0"/>
                <w:color w:val="0070C0"/>
                <w:szCs w:val="24"/>
              </w:rPr>
              <w:t xml:space="preserve"> </w:t>
            </w:r>
            <w:r w:rsidR="00D10167">
              <w:rPr>
                <w:bCs w:val="0"/>
                <w:color w:val="0070C0"/>
                <w:szCs w:val="24"/>
              </w:rPr>
              <w:t>Thus, WR3 as</w:t>
            </w:r>
            <w:r w:rsidR="00EC04D7">
              <w:rPr>
                <w:bCs w:val="0"/>
                <w:color w:val="0070C0"/>
                <w:szCs w:val="24"/>
              </w:rPr>
              <w:t xml:space="preserve"> </w:t>
            </w:r>
            <w:r w:rsidR="00D10167">
              <w:rPr>
                <w:bCs w:val="0"/>
                <w:color w:val="0070C0"/>
                <w:szCs w:val="24"/>
              </w:rPr>
              <w:t xml:space="preserve">approved can be deleted. </w:t>
            </w:r>
          </w:p>
          <w:p w14:paraId="476A9F8E" w14:textId="576D868F" w:rsidR="003F4AD9" w:rsidRDefault="00325D2C" w:rsidP="008F647B">
            <w:pPr>
              <w:spacing w:after="120"/>
              <w:rPr>
                <w:bCs w:val="0"/>
                <w:color w:val="0070C0"/>
                <w:szCs w:val="24"/>
              </w:rPr>
            </w:pPr>
            <w:r>
              <w:rPr>
                <w:bCs w:val="0"/>
                <w:i/>
                <w:color w:val="0070C0"/>
                <w:szCs w:val="24"/>
              </w:rPr>
              <w:t>Ambiguity of Purpose</w:t>
            </w:r>
          </w:p>
          <w:p w14:paraId="720480F5" w14:textId="34E6AA69" w:rsidR="00D10167" w:rsidRDefault="00D10167" w:rsidP="008F647B">
            <w:pPr>
              <w:spacing w:after="120"/>
              <w:rPr>
                <w:bCs w:val="0"/>
                <w:color w:val="0070C0"/>
                <w:szCs w:val="24"/>
              </w:rPr>
            </w:pPr>
            <w:r>
              <w:rPr>
                <w:color w:val="0070C0"/>
                <w:szCs w:val="24"/>
              </w:rPr>
              <w:t>WR2/WR3 as</w:t>
            </w:r>
            <w:r w:rsidR="00EC04D7">
              <w:rPr>
                <w:color w:val="0070C0"/>
                <w:szCs w:val="24"/>
              </w:rPr>
              <w:t xml:space="preserve"> </w:t>
            </w:r>
            <w:r>
              <w:rPr>
                <w:color w:val="0070C0"/>
                <w:szCs w:val="24"/>
              </w:rPr>
              <w:t>approved may no longer be needed.</w:t>
            </w:r>
            <w:r w:rsidR="001B5EEC">
              <w:rPr>
                <w:color w:val="0070C0"/>
                <w:szCs w:val="24"/>
              </w:rPr>
              <w:t xml:space="preserve"> </w:t>
            </w:r>
            <w:r>
              <w:rPr>
                <w:color w:val="0070C0"/>
                <w:szCs w:val="24"/>
              </w:rPr>
              <w:t>Since the language predates current Reliability Standards, and whereas the corporate memory to explain why the language was created pre-2008, the language may be redundant.</w:t>
            </w:r>
            <w:r w:rsidR="001B5EEC">
              <w:rPr>
                <w:color w:val="0070C0"/>
                <w:szCs w:val="24"/>
              </w:rPr>
              <w:t xml:space="preserve"> </w:t>
            </w:r>
            <w:r w:rsidR="00325D2C">
              <w:rPr>
                <w:color w:val="0070C0"/>
                <w:szCs w:val="24"/>
              </w:rPr>
              <w:t xml:space="preserve">If so, </w:t>
            </w:r>
            <w:r>
              <w:rPr>
                <w:color w:val="0070C0"/>
                <w:szCs w:val="24"/>
              </w:rPr>
              <w:t xml:space="preserve">it can be deleted. </w:t>
            </w:r>
          </w:p>
          <w:p w14:paraId="33B310E2" w14:textId="008CE73E" w:rsidR="00B44DA8" w:rsidRDefault="00913528" w:rsidP="008F647B">
            <w:pPr>
              <w:spacing w:after="120"/>
              <w:rPr>
                <w:color w:val="0070C0"/>
                <w:szCs w:val="24"/>
              </w:rPr>
            </w:pPr>
            <w:r>
              <w:rPr>
                <w:bCs w:val="0"/>
                <w:color w:val="0070C0"/>
                <w:szCs w:val="24"/>
              </w:rPr>
              <w:t>Historically, WR2</w:t>
            </w:r>
            <w:r w:rsidR="001C7E2D">
              <w:rPr>
                <w:bCs w:val="0"/>
                <w:color w:val="0070C0"/>
                <w:szCs w:val="24"/>
              </w:rPr>
              <w:t>/WR3</w:t>
            </w:r>
            <w:r>
              <w:rPr>
                <w:bCs w:val="0"/>
                <w:color w:val="0070C0"/>
                <w:szCs w:val="24"/>
              </w:rPr>
              <w:t xml:space="preserve"> as</w:t>
            </w:r>
            <w:r w:rsidR="00EC04D7">
              <w:rPr>
                <w:bCs w:val="0"/>
                <w:color w:val="0070C0"/>
                <w:szCs w:val="24"/>
              </w:rPr>
              <w:t xml:space="preserve"> </w:t>
            </w:r>
            <w:r>
              <w:rPr>
                <w:bCs w:val="0"/>
                <w:color w:val="0070C0"/>
                <w:szCs w:val="24"/>
              </w:rPr>
              <w:t xml:space="preserve">approved was included to somehow protect </w:t>
            </w:r>
            <w:r w:rsidR="008B4DD7">
              <w:rPr>
                <w:bCs w:val="0"/>
                <w:color w:val="0070C0"/>
                <w:szCs w:val="24"/>
              </w:rPr>
              <w:t>E</w:t>
            </w:r>
            <w:r>
              <w:rPr>
                <w:bCs w:val="0"/>
                <w:color w:val="0070C0"/>
                <w:szCs w:val="24"/>
              </w:rPr>
              <w:t>ntity</w:t>
            </w:r>
            <w:r w:rsidR="008B4DD7">
              <w:rPr>
                <w:bCs w:val="0"/>
                <w:color w:val="0070C0"/>
                <w:szCs w:val="24"/>
              </w:rPr>
              <w:t xml:space="preserve"> </w:t>
            </w:r>
            <w:r w:rsidR="00D10167">
              <w:rPr>
                <w:bCs w:val="0"/>
                <w:color w:val="0070C0"/>
                <w:szCs w:val="24"/>
              </w:rPr>
              <w:t>1</w:t>
            </w:r>
            <w:r w:rsidR="008B4DD7">
              <w:rPr>
                <w:bCs w:val="0"/>
                <w:color w:val="0070C0"/>
                <w:szCs w:val="24"/>
              </w:rPr>
              <w:t xml:space="preserve"> </w:t>
            </w:r>
            <w:r>
              <w:rPr>
                <w:bCs w:val="0"/>
                <w:color w:val="0070C0"/>
                <w:szCs w:val="24"/>
              </w:rPr>
              <w:t xml:space="preserve">from harm where </w:t>
            </w:r>
            <w:r w:rsidR="008B4DD7">
              <w:rPr>
                <w:bCs w:val="0"/>
                <w:color w:val="0070C0"/>
                <w:szCs w:val="24"/>
              </w:rPr>
              <w:t xml:space="preserve">Entity </w:t>
            </w:r>
            <w:r w:rsidR="00D10167">
              <w:rPr>
                <w:bCs w:val="0"/>
                <w:color w:val="0070C0"/>
                <w:szCs w:val="24"/>
              </w:rPr>
              <w:t>2</w:t>
            </w:r>
            <w:r w:rsidR="008B4DD7">
              <w:rPr>
                <w:bCs w:val="0"/>
                <w:color w:val="0070C0"/>
                <w:szCs w:val="24"/>
              </w:rPr>
              <w:t xml:space="preserve"> </w:t>
            </w:r>
            <w:r>
              <w:rPr>
                <w:bCs w:val="0"/>
                <w:color w:val="0070C0"/>
                <w:szCs w:val="24"/>
              </w:rPr>
              <w:t>used more</w:t>
            </w:r>
            <w:r w:rsidR="001C2248">
              <w:rPr>
                <w:bCs w:val="0"/>
                <w:color w:val="0070C0"/>
                <w:szCs w:val="24"/>
              </w:rPr>
              <w:t>/less</w:t>
            </w:r>
            <w:r>
              <w:rPr>
                <w:bCs w:val="0"/>
                <w:color w:val="0070C0"/>
                <w:szCs w:val="24"/>
              </w:rPr>
              <w:t xml:space="preserve"> stringent planning criteria</w:t>
            </w:r>
            <w:r w:rsidR="008150B2">
              <w:rPr>
                <w:bCs w:val="0"/>
                <w:color w:val="0070C0"/>
                <w:szCs w:val="24"/>
              </w:rPr>
              <w:t xml:space="preserve"> than </w:t>
            </w:r>
            <w:r w:rsidR="00D524F1">
              <w:rPr>
                <w:bCs w:val="0"/>
                <w:color w:val="0070C0"/>
                <w:szCs w:val="24"/>
              </w:rPr>
              <w:t xml:space="preserve">Entity </w:t>
            </w:r>
            <w:r w:rsidR="00D10167">
              <w:rPr>
                <w:bCs w:val="0"/>
                <w:color w:val="0070C0"/>
                <w:szCs w:val="24"/>
              </w:rPr>
              <w:t>1</w:t>
            </w:r>
            <w:r w:rsidR="00D524F1">
              <w:rPr>
                <w:bCs w:val="0"/>
                <w:color w:val="0070C0"/>
                <w:szCs w:val="24"/>
              </w:rPr>
              <w:t>.</w:t>
            </w:r>
            <w:r w:rsidR="001B5EEC">
              <w:rPr>
                <w:bCs w:val="0"/>
                <w:color w:val="0070C0"/>
                <w:szCs w:val="24"/>
              </w:rPr>
              <w:t xml:space="preserve"> </w:t>
            </w:r>
            <w:r w:rsidR="00D524F1">
              <w:rPr>
                <w:bCs w:val="0"/>
                <w:color w:val="0070C0"/>
                <w:szCs w:val="24"/>
              </w:rPr>
              <w:t>In the 2008 version of this document, WRS2 states, the ability to use different criteria “</w:t>
            </w:r>
            <w:r w:rsidR="00D524F1" w:rsidRPr="00D524F1">
              <w:rPr>
                <w:bCs w:val="0"/>
                <w:color w:val="0070C0"/>
                <w:szCs w:val="24"/>
              </w:rPr>
              <w:t>does</w:t>
            </w:r>
            <w:r w:rsidR="000D7344">
              <w:rPr>
                <w:bCs w:val="0"/>
                <w:color w:val="0070C0"/>
                <w:szCs w:val="24"/>
              </w:rPr>
              <w:t xml:space="preserve"> </w:t>
            </w:r>
            <w:r w:rsidR="00D524F1" w:rsidRPr="00D524F1">
              <w:rPr>
                <w:bCs w:val="0"/>
                <w:color w:val="0070C0"/>
                <w:szCs w:val="24"/>
              </w:rPr>
              <w:t xml:space="preserve">not relieve the system or group of systems from </w:t>
            </w:r>
            <w:r w:rsidR="00D524F1" w:rsidRPr="008F647B">
              <w:rPr>
                <w:b/>
                <w:i/>
                <w:color w:val="0070C0"/>
                <w:szCs w:val="24"/>
              </w:rPr>
              <w:t>WECC requirements</w:t>
            </w:r>
            <w:r w:rsidR="00D524F1" w:rsidRPr="00D524F1">
              <w:rPr>
                <w:bCs w:val="0"/>
                <w:color w:val="0070C0"/>
                <w:szCs w:val="24"/>
              </w:rPr>
              <w:t xml:space="preserve"> for </w:t>
            </w:r>
            <w:r w:rsidR="00D524F1" w:rsidRPr="008F647B">
              <w:rPr>
                <w:b/>
                <w:i/>
                <w:color w:val="0070C0"/>
                <w:szCs w:val="24"/>
              </w:rPr>
              <w:t>impacts on other systems</w:t>
            </w:r>
            <w:r w:rsidR="00D524F1" w:rsidRPr="00D524F1">
              <w:rPr>
                <w:bCs w:val="0"/>
                <w:color w:val="0070C0"/>
                <w:szCs w:val="24"/>
              </w:rPr>
              <w:t>.</w:t>
            </w:r>
            <w:r w:rsidR="00D524F1">
              <w:rPr>
                <w:bCs w:val="0"/>
                <w:color w:val="0070C0"/>
                <w:szCs w:val="24"/>
              </w:rPr>
              <w:t xml:space="preserve">” </w:t>
            </w:r>
            <w:r w:rsidR="00B75012">
              <w:rPr>
                <w:bCs w:val="0"/>
                <w:color w:val="0070C0"/>
                <w:szCs w:val="24"/>
              </w:rPr>
              <w:t>(Emphasis added.)</w:t>
            </w:r>
            <w:r w:rsidR="001B5EEC">
              <w:rPr>
                <w:bCs w:val="0"/>
                <w:color w:val="0070C0"/>
                <w:szCs w:val="24"/>
              </w:rPr>
              <w:t xml:space="preserve"> </w:t>
            </w:r>
            <w:r w:rsidR="00B44DA8">
              <w:rPr>
                <w:bCs w:val="0"/>
                <w:color w:val="0070C0"/>
                <w:szCs w:val="24"/>
              </w:rPr>
              <w:t xml:space="preserve">Although an archive search was conducted to identify the risks on which the language was based, the background for including the language in 2008 could not be determined. </w:t>
            </w:r>
          </w:p>
          <w:p w14:paraId="23E363ED" w14:textId="136A3775" w:rsidR="00D07301" w:rsidRDefault="000D7344" w:rsidP="008F647B">
            <w:pPr>
              <w:spacing w:after="120"/>
              <w:rPr>
                <w:color w:val="0070C0"/>
                <w:szCs w:val="24"/>
              </w:rPr>
            </w:pPr>
            <w:r>
              <w:rPr>
                <w:bCs w:val="0"/>
                <w:color w:val="0070C0"/>
                <w:szCs w:val="24"/>
              </w:rPr>
              <w:t>In 2021, w</w:t>
            </w:r>
            <w:r w:rsidR="00D524F1">
              <w:rPr>
                <w:bCs w:val="0"/>
                <w:color w:val="0070C0"/>
                <w:szCs w:val="24"/>
              </w:rPr>
              <w:t xml:space="preserve">hen asked to describe </w:t>
            </w:r>
            <w:r w:rsidR="002969E3">
              <w:rPr>
                <w:bCs w:val="0"/>
                <w:color w:val="0070C0"/>
                <w:szCs w:val="24"/>
              </w:rPr>
              <w:t xml:space="preserve">which </w:t>
            </w:r>
            <w:r w:rsidR="00B44DA8">
              <w:rPr>
                <w:bCs w:val="0"/>
                <w:color w:val="0070C0"/>
                <w:szCs w:val="24"/>
              </w:rPr>
              <w:t xml:space="preserve">2008 (or 2021) </w:t>
            </w:r>
            <w:r w:rsidR="00D524F1" w:rsidRPr="00D10167">
              <w:rPr>
                <w:bCs w:val="0"/>
                <w:i/>
                <w:color w:val="0070C0"/>
                <w:szCs w:val="24"/>
              </w:rPr>
              <w:t>WECC requirements</w:t>
            </w:r>
            <w:r w:rsidR="00D524F1">
              <w:rPr>
                <w:bCs w:val="0"/>
                <w:color w:val="0070C0"/>
                <w:szCs w:val="24"/>
              </w:rPr>
              <w:t xml:space="preserve"> </w:t>
            </w:r>
            <w:r w:rsidR="00B75012">
              <w:rPr>
                <w:bCs w:val="0"/>
                <w:color w:val="0070C0"/>
                <w:szCs w:val="24"/>
              </w:rPr>
              <w:t xml:space="preserve">were addressed by the language, </w:t>
            </w:r>
            <w:r w:rsidR="00D524F1">
              <w:rPr>
                <w:bCs w:val="0"/>
                <w:color w:val="0070C0"/>
                <w:szCs w:val="24"/>
              </w:rPr>
              <w:t>neither the DT nor the gallery posited a fact pattern.</w:t>
            </w:r>
            <w:r w:rsidR="001B5EEC">
              <w:rPr>
                <w:bCs w:val="0"/>
                <w:color w:val="0070C0"/>
                <w:szCs w:val="24"/>
              </w:rPr>
              <w:t xml:space="preserve"> </w:t>
            </w:r>
            <w:r w:rsidR="00D524F1">
              <w:rPr>
                <w:bCs w:val="0"/>
                <w:color w:val="0070C0"/>
                <w:szCs w:val="24"/>
              </w:rPr>
              <w:t xml:space="preserve">As to </w:t>
            </w:r>
            <w:r w:rsidR="00D524F1" w:rsidRPr="00D10167">
              <w:rPr>
                <w:bCs w:val="0"/>
                <w:i/>
                <w:color w:val="0070C0"/>
                <w:szCs w:val="24"/>
              </w:rPr>
              <w:t xml:space="preserve">impacts on other systems </w:t>
            </w:r>
            <w:r w:rsidR="001C7E2D">
              <w:rPr>
                <w:bCs w:val="0"/>
                <w:color w:val="0070C0"/>
                <w:szCs w:val="24"/>
              </w:rPr>
              <w:t xml:space="preserve">resulting </w:t>
            </w:r>
            <w:r w:rsidR="001C7E2D">
              <w:rPr>
                <w:bCs w:val="0"/>
                <w:color w:val="0070C0"/>
                <w:szCs w:val="24"/>
              </w:rPr>
              <w:lastRenderedPageBreak/>
              <w:t xml:space="preserve">from differing planning criteria, </w:t>
            </w:r>
            <w:r w:rsidR="00D524F1">
              <w:rPr>
                <w:bCs w:val="0"/>
                <w:color w:val="0070C0"/>
                <w:szCs w:val="24"/>
              </w:rPr>
              <w:t>a concern was raised that differing criteria could give rise to mandates to build, repair, or otherwise expend resource</w:t>
            </w:r>
            <w:r>
              <w:rPr>
                <w:bCs w:val="0"/>
                <w:color w:val="0070C0"/>
                <w:szCs w:val="24"/>
              </w:rPr>
              <w:t>s</w:t>
            </w:r>
            <w:r w:rsidR="00752DA7">
              <w:rPr>
                <w:bCs w:val="0"/>
                <w:color w:val="0070C0"/>
                <w:szCs w:val="24"/>
              </w:rPr>
              <w:t>—</w:t>
            </w:r>
            <w:r w:rsidR="00D524F1">
              <w:rPr>
                <w:bCs w:val="0"/>
                <w:color w:val="0070C0"/>
                <w:szCs w:val="24"/>
              </w:rPr>
              <w:t xml:space="preserve">imposed by </w:t>
            </w:r>
            <w:r>
              <w:rPr>
                <w:bCs w:val="0"/>
                <w:color w:val="0070C0"/>
                <w:szCs w:val="24"/>
              </w:rPr>
              <w:t xml:space="preserve">the </w:t>
            </w:r>
            <w:r w:rsidR="001C7E2D">
              <w:rPr>
                <w:bCs w:val="0"/>
                <w:color w:val="0070C0"/>
                <w:szCs w:val="24"/>
              </w:rPr>
              <w:t xml:space="preserve">differing </w:t>
            </w:r>
            <w:r>
              <w:rPr>
                <w:bCs w:val="0"/>
                <w:color w:val="0070C0"/>
                <w:szCs w:val="24"/>
              </w:rPr>
              <w:t xml:space="preserve">study criteria of </w:t>
            </w:r>
            <w:r w:rsidR="00D524F1">
              <w:rPr>
                <w:bCs w:val="0"/>
                <w:color w:val="0070C0"/>
                <w:szCs w:val="24"/>
              </w:rPr>
              <w:t>a separate entity.</w:t>
            </w:r>
            <w:r w:rsidR="001B5EEC">
              <w:rPr>
                <w:bCs w:val="0"/>
                <w:color w:val="0070C0"/>
                <w:szCs w:val="24"/>
              </w:rPr>
              <w:t xml:space="preserve"> </w:t>
            </w:r>
            <w:r w:rsidR="00D524F1">
              <w:rPr>
                <w:bCs w:val="0"/>
                <w:color w:val="0070C0"/>
                <w:szCs w:val="24"/>
              </w:rPr>
              <w:t xml:space="preserve">After discussion, neither the DT nor the gallery could posit how differing criteria could mandate </w:t>
            </w:r>
            <w:r>
              <w:rPr>
                <w:bCs w:val="0"/>
                <w:color w:val="0070C0"/>
                <w:szCs w:val="24"/>
              </w:rPr>
              <w:t xml:space="preserve">expenditure </w:t>
            </w:r>
            <w:r w:rsidR="00D524F1">
              <w:rPr>
                <w:bCs w:val="0"/>
                <w:color w:val="0070C0"/>
                <w:szCs w:val="24"/>
              </w:rPr>
              <w:t xml:space="preserve">in </w:t>
            </w:r>
            <w:r w:rsidR="00AA346D">
              <w:rPr>
                <w:bCs w:val="0"/>
                <w:color w:val="0070C0"/>
                <w:szCs w:val="24"/>
              </w:rPr>
              <w:t>an</w:t>
            </w:r>
            <w:r w:rsidR="00D524F1">
              <w:rPr>
                <w:bCs w:val="0"/>
                <w:color w:val="0070C0"/>
                <w:szCs w:val="24"/>
              </w:rPr>
              <w:t>other system.</w:t>
            </w:r>
            <w:r w:rsidR="001B5EEC">
              <w:rPr>
                <w:bCs w:val="0"/>
                <w:color w:val="0070C0"/>
                <w:szCs w:val="24"/>
              </w:rPr>
              <w:t xml:space="preserve"> </w:t>
            </w:r>
            <w:r w:rsidR="00325D2C">
              <w:rPr>
                <w:bCs w:val="0"/>
                <w:color w:val="0070C0"/>
                <w:szCs w:val="24"/>
              </w:rPr>
              <w:t>This conclusion was influenced by FERC’s inability to mandate that an entity build.</w:t>
            </w:r>
            <w:r w:rsidR="001B5EEC">
              <w:rPr>
                <w:bCs w:val="0"/>
                <w:color w:val="0070C0"/>
                <w:szCs w:val="24"/>
              </w:rPr>
              <w:t xml:space="preserve"> </w:t>
            </w:r>
            <w:r w:rsidR="00325D2C">
              <w:rPr>
                <w:bCs w:val="0"/>
                <w:color w:val="0070C0"/>
                <w:szCs w:val="24"/>
              </w:rPr>
              <w:t>If FERC could not mandate the expenditure</w:t>
            </w:r>
            <w:r w:rsidR="00752DA7">
              <w:rPr>
                <w:bCs w:val="0"/>
                <w:color w:val="0070C0"/>
                <w:szCs w:val="24"/>
              </w:rPr>
              <w:t>,</w:t>
            </w:r>
            <w:r w:rsidR="00325D2C">
              <w:rPr>
                <w:bCs w:val="0"/>
                <w:color w:val="0070C0"/>
                <w:szCs w:val="24"/>
              </w:rPr>
              <w:t xml:space="preserve"> the likelihood that a WECC Criterion could do otherwise would be minimal.</w:t>
            </w:r>
            <w:r w:rsidR="001B5EEC">
              <w:rPr>
                <w:bCs w:val="0"/>
                <w:color w:val="0070C0"/>
                <w:szCs w:val="24"/>
              </w:rPr>
              <w:t xml:space="preserve"> </w:t>
            </w:r>
          </w:p>
          <w:p w14:paraId="0EB58BF9" w14:textId="2442BA9E" w:rsidR="00325D2C" w:rsidRDefault="00D07301" w:rsidP="008F647B">
            <w:pPr>
              <w:spacing w:after="120"/>
              <w:rPr>
                <w:color w:val="0070C0"/>
                <w:szCs w:val="24"/>
              </w:rPr>
            </w:pPr>
            <w:r>
              <w:rPr>
                <w:bCs w:val="0"/>
                <w:color w:val="0070C0"/>
                <w:szCs w:val="24"/>
              </w:rPr>
              <w:t xml:space="preserve">Finally, the DT and gallery considered the language may be predicated on system rating concerns stemming from protection of Existing Path </w:t>
            </w:r>
            <w:r w:rsidR="0020289C">
              <w:rPr>
                <w:bCs w:val="0"/>
                <w:color w:val="0070C0"/>
                <w:szCs w:val="24"/>
              </w:rPr>
              <w:t>R</w:t>
            </w:r>
            <w:r>
              <w:rPr>
                <w:bCs w:val="0"/>
                <w:color w:val="0070C0"/>
                <w:szCs w:val="24"/>
              </w:rPr>
              <w:t>atings</w:t>
            </w:r>
            <w:r w:rsidR="00325D2C">
              <w:rPr>
                <w:bCs w:val="0"/>
                <w:color w:val="0070C0"/>
                <w:szCs w:val="24"/>
              </w:rPr>
              <w:t xml:space="preserve">, Accepted Path </w:t>
            </w:r>
            <w:r w:rsidR="0020289C">
              <w:rPr>
                <w:bCs w:val="0"/>
                <w:color w:val="0070C0"/>
                <w:szCs w:val="24"/>
              </w:rPr>
              <w:t>R</w:t>
            </w:r>
            <w:r w:rsidR="00325D2C">
              <w:rPr>
                <w:bCs w:val="0"/>
                <w:color w:val="0070C0"/>
                <w:szCs w:val="24"/>
              </w:rPr>
              <w:t xml:space="preserve">atings, </w:t>
            </w:r>
            <w:r>
              <w:rPr>
                <w:bCs w:val="0"/>
                <w:color w:val="0070C0"/>
                <w:szCs w:val="24"/>
              </w:rPr>
              <w:t xml:space="preserve">or Latent Capacity as discussed in WECC’s </w:t>
            </w:r>
            <w:r w:rsidRPr="00D07301">
              <w:rPr>
                <w:bCs w:val="0"/>
                <w:color w:val="0070C0"/>
                <w:szCs w:val="24"/>
              </w:rPr>
              <w:t>Project Coordination, Path Rating and</w:t>
            </w:r>
            <w:r>
              <w:rPr>
                <w:bCs w:val="0"/>
                <w:color w:val="0070C0"/>
                <w:szCs w:val="24"/>
              </w:rPr>
              <w:t xml:space="preserve"> </w:t>
            </w:r>
            <w:r w:rsidRPr="00D07301">
              <w:rPr>
                <w:bCs w:val="0"/>
                <w:color w:val="0070C0"/>
                <w:szCs w:val="24"/>
              </w:rPr>
              <w:t>Progress Report Processes</w:t>
            </w:r>
            <w:r>
              <w:rPr>
                <w:bCs w:val="0"/>
                <w:color w:val="0070C0"/>
                <w:szCs w:val="24"/>
              </w:rPr>
              <w:t>.</w:t>
            </w:r>
            <w:r w:rsidR="001B5EEC">
              <w:rPr>
                <w:bCs w:val="0"/>
                <w:color w:val="0070C0"/>
                <w:szCs w:val="24"/>
              </w:rPr>
              <w:t xml:space="preserve"> </w:t>
            </w:r>
            <w:r w:rsidR="00325D2C">
              <w:rPr>
                <w:bCs w:val="0"/>
                <w:color w:val="0070C0"/>
                <w:szCs w:val="24"/>
              </w:rPr>
              <w:t>For example, 4.3.4 Accepted rating Protection states, a “</w:t>
            </w:r>
            <w:r w:rsidR="00325D2C" w:rsidRPr="00325D2C">
              <w:rPr>
                <w:bCs w:val="0"/>
                <w:color w:val="0070C0"/>
                <w:szCs w:val="24"/>
              </w:rPr>
              <w:t>new project shall not cause a reduction in an Accepted Rating of another Path</w:t>
            </w:r>
            <w:r w:rsidR="00325D2C">
              <w:rPr>
                <w:bCs w:val="0"/>
                <w:color w:val="0070C0"/>
                <w:szCs w:val="24"/>
              </w:rPr>
              <w:t>…</w:t>
            </w:r>
            <w:r w:rsidR="00325D2C" w:rsidRPr="00325D2C">
              <w:rPr>
                <w:bCs w:val="0"/>
                <w:color w:val="0070C0"/>
                <w:szCs w:val="24"/>
              </w:rPr>
              <w:t>unless mitigating or</w:t>
            </w:r>
            <w:r w:rsidR="00325D2C">
              <w:rPr>
                <w:bCs w:val="0"/>
                <w:color w:val="0070C0"/>
                <w:szCs w:val="24"/>
              </w:rPr>
              <w:t xml:space="preserve"> </w:t>
            </w:r>
            <w:r w:rsidR="00325D2C" w:rsidRPr="00325D2C">
              <w:rPr>
                <w:bCs w:val="0"/>
                <w:color w:val="0070C0"/>
                <w:szCs w:val="24"/>
              </w:rPr>
              <w:t>compensating measures are provided.</w:t>
            </w:r>
            <w:r w:rsidR="00325D2C">
              <w:rPr>
                <w:bCs w:val="0"/>
                <w:color w:val="0070C0"/>
                <w:szCs w:val="24"/>
              </w:rPr>
              <w:t>”</w:t>
            </w:r>
            <w:r w:rsidR="001B5EEC">
              <w:rPr>
                <w:bCs w:val="0"/>
                <w:color w:val="0070C0"/>
                <w:szCs w:val="24"/>
              </w:rPr>
              <w:t xml:space="preserve"> </w:t>
            </w:r>
            <w:r w:rsidR="00325D2C">
              <w:rPr>
                <w:bCs w:val="0"/>
                <w:color w:val="0070C0"/>
                <w:szCs w:val="24"/>
              </w:rPr>
              <w:t xml:space="preserve">If this type </w:t>
            </w:r>
            <w:r w:rsidR="0020289C">
              <w:rPr>
                <w:bCs w:val="0"/>
                <w:color w:val="0070C0"/>
                <w:szCs w:val="24"/>
              </w:rPr>
              <w:t xml:space="preserve">of </w:t>
            </w:r>
            <w:r w:rsidR="00325D2C">
              <w:rPr>
                <w:bCs w:val="0"/>
                <w:color w:val="0070C0"/>
                <w:szCs w:val="24"/>
              </w:rPr>
              <w:t xml:space="preserve">concern is the premise for the language, mitigation is addressed in the Process and need not </w:t>
            </w:r>
            <w:r w:rsidR="0020289C">
              <w:rPr>
                <w:bCs w:val="0"/>
                <w:color w:val="0070C0"/>
                <w:szCs w:val="24"/>
              </w:rPr>
              <w:t xml:space="preserve">be </w:t>
            </w:r>
            <w:r w:rsidR="00325D2C">
              <w:rPr>
                <w:bCs w:val="0"/>
                <w:color w:val="0070C0"/>
                <w:szCs w:val="24"/>
              </w:rPr>
              <w:t xml:space="preserve">addressed </w:t>
            </w:r>
            <w:r w:rsidR="0020289C">
              <w:rPr>
                <w:bCs w:val="0"/>
                <w:color w:val="0070C0"/>
                <w:szCs w:val="24"/>
              </w:rPr>
              <w:t xml:space="preserve">peripherally </w:t>
            </w:r>
            <w:r w:rsidR="00325D2C">
              <w:rPr>
                <w:bCs w:val="0"/>
                <w:color w:val="0070C0"/>
                <w:szCs w:val="24"/>
              </w:rPr>
              <w:t xml:space="preserve">in a separate WECC Criterion. </w:t>
            </w:r>
          </w:p>
          <w:p w14:paraId="34528157" w14:textId="5D87691C" w:rsidR="00D07301" w:rsidRDefault="00CD26FD" w:rsidP="008F647B">
            <w:pPr>
              <w:spacing w:after="120"/>
              <w:rPr>
                <w:color w:val="0070C0"/>
                <w:szCs w:val="24"/>
              </w:rPr>
            </w:pPr>
            <w:r w:rsidRPr="00CD26FD">
              <w:rPr>
                <w:bCs w:val="0"/>
                <w:i/>
                <w:color w:val="0070C0"/>
                <w:szCs w:val="24"/>
              </w:rPr>
              <w:t>Rationale Sections</w:t>
            </w:r>
            <w:r w:rsidR="001B5EEC">
              <w:rPr>
                <w:bCs w:val="0"/>
                <w:i/>
                <w:color w:val="0070C0"/>
                <w:szCs w:val="24"/>
              </w:rPr>
              <w:t xml:space="preserve"> </w:t>
            </w:r>
          </w:p>
          <w:p w14:paraId="04F44CDA" w14:textId="366CF5E8" w:rsidR="007D2436" w:rsidRPr="007D2436" w:rsidRDefault="00F25A36" w:rsidP="008F647B">
            <w:pPr>
              <w:spacing w:after="120"/>
              <w:rPr>
                <w:color w:val="0070C0"/>
                <w:szCs w:val="24"/>
              </w:rPr>
            </w:pPr>
            <w:bookmarkStart w:id="8" w:name="_Hlk87352358"/>
            <w:r>
              <w:rPr>
                <w:color w:val="0070C0"/>
              </w:rPr>
              <w:t>The Rationale Section has been updated to reflect the proposed substantive changes.</w:t>
            </w:r>
            <w:r w:rsidR="001B5EEC">
              <w:rPr>
                <w:color w:val="0070C0"/>
              </w:rPr>
              <w:t xml:space="preserve"> </w:t>
            </w:r>
            <w:bookmarkEnd w:id="8"/>
          </w:p>
          <w:p w14:paraId="2B35084F" w14:textId="77777777" w:rsidR="00D768E9" w:rsidRPr="006E6397" w:rsidRDefault="006E6397" w:rsidP="00A350CB">
            <w:pPr>
              <w:spacing w:after="120"/>
              <w:rPr>
                <w:b/>
                <w:color w:val="0070C0"/>
              </w:rPr>
            </w:pPr>
            <w:r w:rsidRPr="006E6397">
              <w:rPr>
                <w:b/>
                <w:bCs w:val="0"/>
                <w:color w:val="0070C0"/>
              </w:rPr>
              <w:t>References</w:t>
            </w:r>
          </w:p>
          <w:p w14:paraId="2C8C929F" w14:textId="2C576DDB" w:rsidR="00DF6016" w:rsidRPr="00B6235E" w:rsidRDefault="006E6397" w:rsidP="00A350CB">
            <w:pPr>
              <w:spacing w:after="120"/>
              <w:rPr>
                <w:bCs w:val="0"/>
                <w:color w:val="0070C0"/>
              </w:rPr>
            </w:pPr>
            <w:r>
              <w:rPr>
                <w:bCs w:val="0"/>
                <w:color w:val="0070C0"/>
              </w:rPr>
              <w:t>The DT appreciates BC’s notes on notation.</w:t>
            </w:r>
            <w:r w:rsidR="001B5EEC">
              <w:rPr>
                <w:bCs w:val="0"/>
                <w:color w:val="0070C0"/>
              </w:rPr>
              <w:t xml:space="preserve"> </w:t>
            </w:r>
            <w:r>
              <w:rPr>
                <w:bCs w:val="0"/>
                <w:color w:val="0070C0"/>
              </w:rPr>
              <w:t>As the document shifts during development</w:t>
            </w:r>
            <w:r w:rsidR="00EB1C0F">
              <w:rPr>
                <w:bCs w:val="0"/>
                <w:color w:val="0070C0"/>
              </w:rPr>
              <w:t>,</w:t>
            </w:r>
            <w:r>
              <w:rPr>
                <w:bCs w:val="0"/>
                <w:color w:val="0070C0"/>
              </w:rPr>
              <w:t xml:space="preserve"> so too will the “WRs.”</w:t>
            </w:r>
            <w:r w:rsidR="001B5EEC">
              <w:rPr>
                <w:bCs w:val="0"/>
                <w:color w:val="0070C0"/>
              </w:rPr>
              <w:t xml:space="preserve"> </w:t>
            </w:r>
            <w:r>
              <w:rPr>
                <w:bCs w:val="0"/>
                <w:color w:val="0070C0"/>
              </w:rPr>
              <w:t>The DT will be mindful to keep the references current and will ensure that the final work product is reviewed by a technical editor to ensure consistency.</w:t>
            </w:r>
          </w:p>
        </w:tc>
      </w:tr>
      <w:tr w:rsidR="006F6E46" w:rsidRPr="005B679F" w14:paraId="7DC8C184" w14:textId="77777777" w:rsidTr="008F6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bottom w:val="single" w:sz="4" w:space="0" w:color="auto"/>
            </w:tcBorders>
          </w:tcPr>
          <w:p w14:paraId="161185DE" w14:textId="77777777" w:rsidR="006F6E46" w:rsidRPr="005B679F" w:rsidRDefault="006F6E46" w:rsidP="000F663B">
            <w:pPr>
              <w:spacing w:after="120"/>
              <w:rPr>
                <w:bCs w:val="0"/>
              </w:rPr>
            </w:pPr>
            <w:r>
              <w:rPr>
                <w:bCs w:val="0"/>
              </w:rPr>
              <w:lastRenderedPageBreak/>
              <w:t xml:space="preserve">BPA </w:t>
            </w:r>
          </w:p>
        </w:tc>
        <w:tc>
          <w:tcPr>
            <w:tcW w:w="0" w:type="dxa"/>
            <w:tcBorders>
              <w:bottom w:val="single" w:sz="4" w:space="0" w:color="auto"/>
            </w:tcBorders>
          </w:tcPr>
          <w:p w14:paraId="39494647" w14:textId="77777777" w:rsidR="006F6E46" w:rsidRPr="006F6E46" w:rsidRDefault="006F6E46" w:rsidP="006F6E46">
            <w:pPr>
              <w:spacing w:after="120"/>
              <w:cnfStyle w:val="000000100000" w:firstRow="0" w:lastRow="0" w:firstColumn="0" w:lastColumn="0" w:oddVBand="0" w:evenVBand="0" w:oddHBand="1" w:evenHBand="0" w:firstRowFirstColumn="0" w:firstRowLastColumn="0" w:lastRowFirstColumn="0" w:lastRowLastColumn="0"/>
            </w:pPr>
            <w:r w:rsidRPr="006F6E46">
              <w:t>BPA appreciates the opportunity to provide comments regarding the TPL-001-WECC-CRT.​</w:t>
            </w:r>
          </w:p>
          <w:p w14:paraId="4B19E736" w14:textId="77777777" w:rsidR="006F6E46" w:rsidRPr="006F6E46" w:rsidRDefault="006F6E46" w:rsidP="006F6E46">
            <w:pPr>
              <w:spacing w:after="120"/>
              <w:cnfStyle w:val="000000100000" w:firstRow="0" w:lastRow="0" w:firstColumn="0" w:lastColumn="0" w:oddVBand="0" w:evenVBand="0" w:oddHBand="1" w:evenHBand="0" w:firstRowFirstColumn="0" w:firstRowLastColumn="0" w:lastRowFirstColumn="0" w:lastRowLastColumn="0"/>
            </w:pPr>
            <w:r w:rsidRPr="006F6E46">
              <w:t>BPA believes the references to WR2 and WR4 are incorrect in a couple of instances on page 4 and page 9.</w:t>
            </w:r>
          </w:p>
          <w:p w14:paraId="3BC7DF27" w14:textId="77777777" w:rsidR="006F6E46" w:rsidRPr="005B679F" w:rsidRDefault="006F6E46" w:rsidP="006F6E46">
            <w:pPr>
              <w:spacing w:after="120"/>
              <w:cnfStyle w:val="000000100000" w:firstRow="0" w:lastRow="0" w:firstColumn="0" w:lastColumn="0" w:oddVBand="0" w:evenVBand="0" w:oddHBand="1" w:evenHBand="0" w:firstRowFirstColumn="0" w:firstRowLastColumn="0" w:lastRowFirstColumn="0" w:lastRowLastColumn="0"/>
            </w:pPr>
            <w:r w:rsidRPr="006F6E46">
              <w:t>BPA also seeks clarity from the DT regarding its rational to remove the less stringent criteria under the old WR3. BPA believes it should be retained as BPA uses that criteria when we see a potential exceedance on other systems that have a less stringent criteria, especially voltage levels. BPA believes this similarly applies to the old WR2.</w:t>
            </w:r>
          </w:p>
        </w:tc>
      </w:tr>
      <w:tr w:rsidR="00F85A6B" w:rsidRPr="00F85A6B" w14:paraId="2476CBD8" w14:textId="77777777" w:rsidTr="008F647B">
        <w:tc>
          <w:tcPr>
            <w:cnfStyle w:val="001000000000" w:firstRow="0" w:lastRow="0" w:firstColumn="1" w:lastColumn="0" w:oddVBand="0" w:evenVBand="0" w:oddHBand="0" w:evenHBand="0" w:firstRowFirstColumn="0" w:firstRowLastColumn="0" w:lastRowFirstColumn="0" w:lastRowLastColumn="0"/>
            <w:tcW w:w="0" w:type="dxa"/>
            <w:gridSpan w:val="3"/>
            <w:tcBorders>
              <w:bottom w:val="single" w:sz="4" w:space="0" w:color="auto"/>
              <w:right w:val="single" w:sz="4" w:space="0" w:color="auto"/>
            </w:tcBorders>
          </w:tcPr>
          <w:p w14:paraId="19B4E9CE" w14:textId="77777777" w:rsidR="001E1B6F" w:rsidRDefault="00263D03" w:rsidP="00263D03">
            <w:pPr>
              <w:rPr>
                <w:color w:val="0070C0"/>
              </w:rPr>
            </w:pPr>
            <w:r w:rsidRPr="00263D03">
              <w:rPr>
                <w:bCs w:val="0"/>
                <w:color w:val="0070C0"/>
              </w:rPr>
              <w:t>Please see response to BC Hydro.</w:t>
            </w:r>
          </w:p>
          <w:p w14:paraId="4C7A3942" w14:textId="77777777" w:rsidR="000544F0" w:rsidRDefault="000544F0" w:rsidP="00263D03">
            <w:pPr>
              <w:rPr>
                <w:bCs w:val="0"/>
                <w:color w:val="0070C0"/>
              </w:rPr>
            </w:pPr>
          </w:p>
          <w:p w14:paraId="07F38660" w14:textId="4AC294FE" w:rsidR="000544F0" w:rsidRPr="00F85A6B" w:rsidRDefault="000544F0" w:rsidP="00973BFC">
            <w:pPr>
              <w:rPr>
                <w:color w:val="0070C0"/>
              </w:rPr>
            </w:pPr>
            <w:r>
              <w:rPr>
                <w:color w:val="0070C0"/>
              </w:rPr>
              <w:lastRenderedPageBreak/>
              <w:t xml:space="preserve">As proposed in Posting 2, </w:t>
            </w:r>
            <w:r w:rsidR="00973BFC">
              <w:rPr>
                <w:color w:val="0070C0"/>
              </w:rPr>
              <w:t>WR1 as</w:t>
            </w:r>
            <w:r w:rsidR="00EB1C0F">
              <w:rPr>
                <w:color w:val="0070C0"/>
              </w:rPr>
              <w:t xml:space="preserve"> </w:t>
            </w:r>
            <w:r w:rsidR="00973BFC">
              <w:rPr>
                <w:color w:val="0070C0"/>
              </w:rPr>
              <w:t>proposed becomes the mandated minimum threshold.</w:t>
            </w:r>
            <w:r w:rsidR="001B5EEC">
              <w:rPr>
                <w:color w:val="0070C0"/>
              </w:rPr>
              <w:t xml:space="preserve"> </w:t>
            </w:r>
            <w:r w:rsidR="00973BFC">
              <w:rPr>
                <w:color w:val="0070C0"/>
              </w:rPr>
              <w:t>Because WR1 as</w:t>
            </w:r>
            <w:r w:rsidR="0000744C">
              <w:rPr>
                <w:color w:val="0070C0"/>
              </w:rPr>
              <w:t xml:space="preserve"> </w:t>
            </w:r>
            <w:r w:rsidR="00973BFC">
              <w:rPr>
                <w:color w:val="0070C0"/>
              </w:rPr>
              <w:t>approved sets the minimum threshold</w:t>
            </w:r>
            <w:r w:rsidR="0000744C">
              <w:rPr>
                <w:color w:val="0070C0"/>
              </w:rPr>
              <w:t>,</w:t>
            </w:r>
            <w:r w:rsidR="00973BFC">
              <w:rPr>
                <w:color w:val="0070C0"/>
              </w:rPr>
              <w:t xml:space="preserve"> there is no longer a need for a requirement that allows or seeks permission to examine less (WR3 as</w:t>
            </w:r>
            <w:r w:rsidR="0000744C">
              <w:rPr>
                <w:color w:val="0070C0"/>
              </w:rPr>
              <w:t xml:space="preserve"> </w:t>
            </w:r>
            <w:r w:rsidR="00973BFC">
              <w:rPr>
                <w:color w:val="0070C0"/>
              </w:rPr>
              <w:t>approved).</w:t>
            </w:r>
            <w:r w:rsidR="001B5EEC">
              <w:rPr>
                <w:color w:val="0070C0"/>
              </w:rPr>
              <w:t xml:space="preserve"> </w:t>
            </w:r>
            <w:r w:rsidR="00973BFC">
              <w:rPr>
                <w:color w:val="0070C0"/>
              </w:rPr>
              <w:t>Recognizing the value of using more stringent criteria, WR4 as</w:t>
            </w:r>
            <w:r w:rsidR="0000744C">
              <w:rPr>
                <w:color w:val="0070C0"/>
              </w:rPr>
              <w:t xml:space="preserve"> </w:t>
            </w:r>
            <w:r w:rsidR="00973BFC">
              <w:rPr>
                <w:color w:val="0070C0"/>
              </w:rPr>
              <w:t>proposed allows for that</w:t>
            </w:r>
            <w:r w:rsidR="0000744C">
              <w:rPr>
                <w:color w:val="0070C0"/>
              </w:rPr>
              <w:t>,</w:t>
            </w:r>
            <w:r w:rsidR="00973BFC">
              <w:rPr>
                <w:color w:val="0070C0"/>
              </w:rPr>
              <w:t xml:space="preserve"> so long as the approach is made available upon request.</w:t>
            </w:r>
            <w:r w:rsidR="001B5EEC">
              <w:rPr>
                <w:color w:val="0070C0"/>
              </w:rPr>
              <w:t xml:space="preserve"> </w:t>
            </w:r>
          </w:p>
        </w:tc>
      </w:tr>
    </w:tbl>
    <w:p w14:paraId="7C76F56E" w14:textId="77777777" w:rsidR="005B679F" w:rsidRPr="005B679F" w:rsidRDefault="005B679F" w:rsidP="005B679F"/>
    <w:p w14:paraId="7AB2869A" w14:textId="77777777" w:rsidR="005B679F" w:rsidRDefault="005B679F" w:rsidP="005B679F"/>
    <w:sectPr w:rsidR="005B679F" w:rsidSect="00E60569">
      <w:headerReference w:type="even" r:id="rId9"/>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39A6" w14:textId="77777777" w:rsidR="00DC79CC" w:rsidRDefault="00DC79CC" w:rsidP="00E60569">
      <w:r>
        <w:separator/>
      </w:r>
    </w:p>
    <w:p w14:paraId="53EB4B54" w14:textId="77777777" w:rsidR="00DC79CC" w:rsidRDefault="00DC79CC" w:rsidP="00E60569"/>
  </w:endnote>
  <w:endnote w:type="continuationSeparator" w:id="0">
    <w:p w14:paraId="48DE6A30" w14:textId="77777777" w:rsidR="00DC79CC" w:rsidRDefault="00DC79CC" w:rsidP="00E60569">
      <w:r>
        <w:continuationSeparator/>
      </w:r>
    </w:p>
    <w:p w14:paraId="179C8E67" w14:textId="77777777" w:rsidR="00DC79CC" w:rsidRDefault="00DC79CC" w:rsidP="00E60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063625332"/>
      <w:docPartObj>
        <w:docPartGallery w:val="Page Numbers (Bottom of Page)"/>
        <w:docPartUnique/>
      </w:docPartObj>
    </w:sdtPr>
    <w:sdtEndPr>
      <w:rPr>
        <w:b w:val="0"/>
      </w:rPr>
    </w:sdtEndPr>
    <w:sdtContent>
      <w:p w14:paraId="49292C7A" w14:textId="77777777" w:rsidR="00E115FD" w:rsidRPr="00E5288E" w:rsidRDefault="00FE6A90" w:rsidP="00E60569">
        <w:pPr>
          <w:pStyle w:val="Footer"/>
          <w:rPr>
            <w:sz w:val="22"/>
          </w:rPr>
        </w:pPr>
        <w:r w:rsidRPr="00E5288E">
          <w:rPr>
            <w:sz w:val="22"/>
          </w:rPr>
          <w:drawing>
            <wp:inline distT="0" distB="0" distL="0" distR="0" wp14:anchorId="11D5E73F" wp14:editId="56151A14">
              <wp:extent cx="413846" cy="27432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CC-LOGO_EVEN.jpg"/>
                      <pic:cNvPicPr/>
                    </pic:nvPicPr>
                    <pic:blipFill>
                      <a:blip r:embed="rId1">
                        <a:extLst>
                          <a:ext uri="{28A0092B-C50C-407E-A947-70E740481C1C}">
                            <a14:useLocalDpi xmlns:a14="http://schemas.microsoft.com/office/drawing/2010/main" val="0"/>
                          </a:ext>
                        </a:extLst>
                      </a:blip>
                      <a:stretch>
                        <a:fillRect/>
                      </a:stretch>
                    </pic:blipFill>
                    <pic:spPr>
                      <a:xfrm>
                        <a:off x="0" y="0"/>
                        <a:ext cx="413846" cy="274320"/>
                      </a:xfrm>
                      <a:prstGeom prst="rect">
                        <a:avLst/>
                      </a:prstGeom>
                    </pic:spPr>
                  </pic:pic>
                </a:graphicData>
              </a:graphic>
            </wp:inline>
          </w:drawing>
        </w:r>
        <w:r w:rsidRPr="00E5288E">
          <w:rPr>
            <w:sz w:val="22"/>
            <w:u w:val="single"/>
          </w:rPr>
          <w:tab/>
        </w:r>
        <w:r w:rsidRPr="00E5288E">
          <w:rPr>
            <w:sz w:val="22"/>
            <w:u w:val="single"/>
          </w:rPr>
          <w:tab/>
        </w:r>
        <w:r w:rsidRPr="00E5288E">
          <w:rPr>
            <w:sz w:val="22"/>
          </w:rPr>
          <w:t xml:space="preserve"> </w:t>
        </w:r>
        <w:r w:rsidR="00F82512" w:rsidRPr="009B19EE">
          <w:rPr>
            <w:b w:val="0"/>
            <w:noProof w:val="0"/>
            <w:sz w:val="22"/>
          </w:rPr>
          <w:fldChar w:fldCharType="begin"/>
        </w:r>
        <w:r w:rsidR="00F82512" w:rsidRPr="009B19EE">
          <w:rPr>
            <w:b w:val="0"/>
            <w:sz w:val="22"/>
          </w:rPr>
          <w:instrText xml:space="preserve"> PAGE   \* MERGEFORMAT </w:instrText>
        </w:r>
        <w:r w:rsidR="00F82512" w:rsidRPr="009B19EE">
          <w:rPr>
            <w:b w:val="0"/>
            <w:noProof w:val="0"/>
            <w:sz w:val="22"/>
          </w:rPr>
          <w:fldChar w:fldCharType="separate"/>
        </w:r>
        <w:r w:rsidR="00203374">
          <w:rPr>
            <w:b w:val="0"/>
            <w:sz w:val="22"/>
          </w:rPr>
          <w:t>5</w:t>
        </w:r>
        <w:r w:rsidR="00F82512" w:rsidRPr="009B19EE">
          <w:rPr>
            <w:b w:val="0"/>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2BD8" w14:textId="77777777" w:rsidR="00323BC9" w:rsidRPr="00E5288E" w:rsidRDefault="00323BC9" w:rsidP="00E60569">
    <w:pPr>
      <w:pStyle w:val="Footer"/>
      <w:rPr>
        <w:sz w:val="22"/>
      </w:rPr>
    </w:pPr>
    <w:r w:rsidRPr="00E5288E">
      <w:rPr>
        <w:sz w:val="22"/>
      </w:rPr>
      <mc:AlternateContent>
        <mc:Choice Requires="wps">
          <w:drawing>
            <wp:inline distT="0" distB="0" distL="0" distR="0" wp14:anchorId="66ACA964" wp14:editId="08EB5206">
              <wp:extent cx="6400800" cy="523875"/>
              <wp:effectExtent l="0" t="0" r="0" b="9525"/>
              <wp:docPr id="30" name="Rectangle 30"/>
              <wp:cNvGraphicFramePr/>
              <a:graphic xmlns:a="http://schemas.openxmlformats.org/drawingml/2006/main">
                <a:graphicData uri="http://schemas.microsoft.com/office/word/2010/wordprocessingShape">
                  <wps:wsp>
                    <wps:cNvSpPr/>
                    <wps:spPr>
                      <a:xfrm>
                        <a:off x="0" y="0"/>
                        <a:ext cx="6400800" cy="523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50647" w14:textId="77777777" w:rsidR="00E60569" w:rsidRPr="00E5288E" w:rsidRDefault="00E60569" w:rsidP="00E60569">
                          <w:pPr>
                            <w:pStyle w:val="FooterPG1"/>
                            <w:rPr>
                              <w:sz w:val="22"/>
                            </w:rPr>
                          </w:pPr>
                          <w:r w:rsidRPr="00E5288E">
                            <w:rPr>
                              <w:sz w:val="22"/>
                            </w:rPr>
                            <w:t>155 North 400 West | Suite 200 | Salt Lake City, Utah 84103</w:t>
                          </w:r>
                          <w:r w:rsidRPr="00E5288E">
                            <w:rPr>
                              <w:sz w:val="22"/>
                            </w:rPr>
                            <w:br/>
                            <w:t>www.wecc.org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ACA964" id="Rectangle 30" o:spid="_x0000_s1026" style="width:7in;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" fillcolor="#00395d [3204]" stroked="f" strokeweight="2pt">
              <v:textbox>
                <w:txbxContent>
                  <w:p w14:paraId="42A50647" w14:textId="77777777" w:rsidR="00E60569" w:rsidRPr="00E5288E" w:rsidRDefault="00E60569" w:rsidP="00E60569">
                    <w:pPr>
                      <w:pStyle w:val="FooterPG1"/>
                      <w:rPr>
                        <w:sz w:val="22"/>
                      </w:rPr>
                    </w:pPr>
                    <w:r w:rsidRPr="00E5288E">
                      <w:rPr>
                        <w:sz w:val="22"/>
                      </w:rPr>
                      <w:t>155 North 400 West | Suite 200 | Salt Lake City, Utah 84103</w:t>
                    </w:r>
                    <w:r w:rsidRPr="00E5288E">
                      <w:rPr>
                        <w:sz w:val="22"/>
                      </w:rPr>
                      <w:br/>
                      <w:t>www.wecc.org</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4FB6" w14:textId="77777777" w:rsidR="00DC79CC" w:rsidRDefault="00DC79CC" w:rsidP="0053685B">
      <w:pPr>
        <w:pStyle w:val="FootnoteText"/>
      </w:pPr>
      <w:r>
        <w:separator/>
      </w:r>
    </w:p>
  </w:footnote>
  <w:footnote w:type="continuationSeparator" w:id="0">
    <w:p w14:paraId="74E26E34" w14:textId="77777777" w:rsidR="00DC79CC" w:rsidRDefault="00DC79CC" w:rsidP="00E60569">
      <w:r>
        <w:continuationSeparator/>
      </w:r>
    </w:p>
    <w:p w14:paraId="2DAAB568" w14:textId="77777777" w:rsidR="00DC79CC" w:rsidRDefault="00DC79CC" w:rsidP="00E60569"/>
  </w:footnote>
  <w:footnote w:id="1">
    <w:p w14:paraId="46B66AD9" w14:textId="13B747C4" w:rsidR="00454D47" w:rsidRDefault="00454D47" w:rsidP="00454D47">
      <w:pPr>
        <w:pStyle w:val="FootnoteText"/>
      </w:pPr>
      <w:r>
        <w:rPr>
          <w:rStyle w:val="FootnoteReference"/>
        </w:rPr>
        <w:footnoteRef/>
      </w:r>
      <w:r>
        <w:t xml:space="preserve"> From December 20, 2021</w:t>
      </w:r>
      <w:r w:rsidR="001B5EEC">
        <w:t>,</w:t>
      </w:r>
      <w:r>
        <w:t xml:space="preserve"> through January 14, 2022, contact Donovan Crane, Staff Engineer, Standards Development, phone (801) 883–6843, dcrane@wecc.org.</w:t>
      </w:r>
    </w:p>
  </w:footnote>
  <w:footnote w:id="2">
    <w:p w14:paraId="5F2DE949" w14:textId="26DF42DA" w:rsidR="00F073A6" w:rsidRDefault="00F073A6">
      <w:pPr>
        <w:pStyle w:val="FootnoteText"/>
      </w:pPr>
      <w:r>
        <w:rPr>
          <w:rStyle w:val="FootnoteReference"/>
        </w:rPr>
        <w:footnoteRef/>
      </w:r>
      <w:r>
        <w:t xml:space="preserve"> “Disputes regarding the categorization of Regional Reliability Standards or Regional Criteria shall be addressed by the WECC Standards Committee, who may use the Standards Development Procedures as necessary.”</w:t>
      </w:r>
      <w:r w:rsidR="001B5EEC">
        <w:t xml:space="preserve"> </w:t>
      </w:r>
      <w:r>
        <w:t xml:space="preserve">Resolving categorization Disputes, 1.3, WECC Document Categorization Policy. </w:t>
      </w:r>
    </w:p>
  </w:footnote>
  <w:footnote w:id="3">
    <w:p w14:paraId="7F5B8948" w14:textId="77777777" w:rsidR="00D524F1" w:rsidRDefault="00D524F1" w:rsidP="00D524F1">
      <w:pPr>
        <w:pStyle w:val="FootnoteText"/>
      </w:pPr>
      <w:r>
        <w:rPr>
          <w:rStyle w:val="FootnoteReference"/>
        </w:rPr>
        <w:footnoteRef/>
      </w:r>
      <w:r>
        <w:t xml:space="preserve"> WRS2. Individual systems or a group of systems may apply requirements that differ from specific requirements in Table W-1 for internal impacts. If the individual requirements are less stringent, other systems are permitted to have the same impact on that part of the individual system for the same category of disturbance. If these requirements are more stringent, these requirements may not be imposed on other systems. This does not relieve the system or group of systems from WECC requirements for impacts on other systems. TPL – (001 thru 004) – WECC – 1 – CR </w:t>
      </w:r>
      <w:r>
        <w:rPr>
          <w:rFonts w:ascii="Times New Roman" w:hAnsi="Times New Roman" w:cs="Times New Roman"/>
        </w:rPr>
        <w:t>─</w:t>
      </w:r>
      <w:r>
        <w:t xml:space="preserve"> System Performance Criteria, April 18, 2008.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A04B" w14:textId="77777777" w:rsidR="00FD6572" w:rsidRDefault="00000000">
    <w:pPr>
      <w:pStyle w:val="Header"/>
    </w:pPr>
    <w:r>
      <w:rPr>
        <w:noProof/>
      </w:rPr>
      <w:pict w14:anchorId="3F610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47" o:spid="_x0000_s1033" type="#_x0000_t136" style="position:absolute;left:0;text-align:left;margin-left:0;margin-top:0;width:645.3pt;height:65.25pt;rotation:315;z-index:-251654144;mso-position-horizontal:center;mso-position-horizontal-relative:margin;mso-position-vertical:center;mso-position-vertical-relative:margin" o:allowincell="f" fillcolor="silver" stroked="f">
          <v:fill opacity=".5"/>
          <v:textpath style="font-family:&quot;Palatino Linotype&quot;;font-size:1pt" string="Posting 1 - To Tech 12-16-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04D6" w14:textId="77777777" w:rsidR="00E115FD" w:rsidRPr="00E5288E" w:rsidRDefault="00000000" w:rsidP="00E60569">
    <w:pPr>
      <w:pStyle w:val="Header"/>
      <w:rPr>
        <w:sz w:val="22"/>
      </w:rPr>
    </w:pPr>
    <w:r>
      <w:rPr>
        <w:noProof/>
      </w:rPr>
      <w:pict w14:anchorId="08CBE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48" o:spid="_x0000_s1034" type="#_x0000_t136" style="position:absolute;left:0;text-align:left;margin-left:0;margin-top:0;width:656.75pt;height:65.25pt;rotation:315;z-index:-251652096;mso-position-horizontal:center;mso-position-horizontal-relative:margin;mso-position-vertical:center;mso-position-vertical-relative:margin" o:allowincell="f" fillcolor="silver" stroked="f">
          <v:fill opacity=".5"/>
          <v:textpath style="font-family:&quot;Palatino Linotype&quot;;font-size:1pt" string="Posting 1 - To Tech 12-16-2021"/>
          <w10:wrap anchorx="margin" anchory="margin"/>
        </v:shape>
      </w:pict>
    </w:r>
    <w:r w:rsidR="00FD6572">
      <w:rPr>
        <w:sz w:val="22"/>
      </w:rPr>
      <w:t>WECC-01</w:t>
    </w:r>
    <w:r w:rsidR="007A64C7">
      <w:rPr>
        <w:sz w:val="22"/>
      </w:rPr>
      <w:t>4</w:t>
    </w:r>
    <w:r w:rsidR="00A27E3A">
      <w:rPr>
        <w:sz w:val="22"/>
      </w:rPr>
      <w:t>6 R</w:t>
    </w:r>
    <w:r w:rsidR="00FD6572">
      <w:rPr>
        <w:sz w:val="22"/>
      </w:rPr>
      <w:t xml:space="preserve">esponse to Comments Posting </w:t>
    </w:r>
    <w:r w:rsidR="00D71A5B">
      <w:rPr>
        <w:sz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A081" w14:textId="77777777" w:rsidR="00FD6572" w:rsidRDefault="00000000" w:rsidP="00FD6572">
    <w:pPr>
      <w:pStyle w:val="Header"/>
    </w:pPr>
    <w:r>
      <w:rPr>
        <w:noProof/>
      </w:rPr>
      <w:pict w14:anchorId="0296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546" o:spid="_x0000_s1032" type="#_x0000_t136" style="position:absolute;left:0;text-align:left;margin-left:0;margin-top:0;width:656.75pt;height:65.25pt;rotation:315;z-index:-251656192;mso-position-horizontal:center;mso-position-horizontal-relative:margin;mso-position-vertical:center;mso-position-vertical-relative:margin" o:allowincell="f" fillcolor="silver" stroked="f">
          <v:fill opacity=".5"/>
          <v:textpath style="font-family:&quot;Palatino Linotype&quot;;font-size:1pt" string="Posting 1 - To Tech 12-16-2021"/>
          <w10:wrap anchorx="margin" anchory="margin"/>
        </v:shape>
      </w:pict>
    </w:r>
    <w:r w:rsidR="00A323FE">
      <w:rPr>
        <w:noProof/>
      </w:rPr>
      <w:drawing>
        <wp:anchor distT="0" distB="0" distL="114300" distR="114300" simplePos="0" relativeHeight="251658240" behindDoc="1" locked="0" layoutInCell="1" allowOverlap="1" wp14:anchorId="596D6C42" wp14:editId="55DEFD6A">
          <wp:simplePos x="0" y="0"/>
          <wp:positionH relativeFrom="column">
            <wp:posOffset>4864</wp:posOffset>
          </wp:positionH>
          <wp:positionV relativeFrom="paragraph">
            <wp:posOffset>77821</wp:posOffset>
          </wp:positionV>
          <wp:extent cx="2929134" cy="938786"/>
          <wp:effectExtent l="0" t="0" r="5080" b="0"/>
          <wp:wrapTight wrapText="bothSides">
            <wp:wrapPolygon edited="0">
              <wp:start x="3653" y="0"/>
              <wp:lineTo x="0" y="2192"/>
              <wp:lineTo x="0" y="3507"/>
              <wp:lineTo x="422" y="7015"/>
              <wp:lineTo x="1686" y="14030"/>
              <wp:lineTo x="0" y="17976"/>
              <wp:lineTo x="0" y="21045"/>
              <wp:lineTo x="8009" y="21045"/>
              <wp:lineTo x="15174" y="21045"/>
              <wp:lineTo x="21497" y="21045"/>
              <wp:lineTo x="21497" y="17976"/>
              <wp:lineTo x="6744" y="14030"/>
              <wp:lineTo x="18406" y="14030"/>
              <wp:lineTo x="21497" y="12714"/>
              <wp:lineTo x="21497" y="5261"/>
              <wp:lineTo x="4356" y="0"/>
              <wp:lineTo x="36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C_Tagline.png"/>
                  <pic:cNvPicPr/>
                </pic:nvPicPr>
                <pic:blipFill>
                  <a:blip r:embed="rId1">
                    <a:extLst>
                      <a:ext uri="{28A0092B-C50C-407E-A947-70E740481C1C}">
                        <a14:useLocalDpi xmlns:a14="http://schemas.microsoft.com/office/drawing/2010/main" val="0"/>
                      </a:ext>
                    </a:extLst>
                  </a:blip>
                  <a:stretch>
                    <a:fillRect/>
                  </a:stretch>
                </pic:blipFill>
                <pic:spPr>
                  <a:xfrm>
                    <a:off x="0" y="0"/>
                    <a:ext cx="2929134" cy="938786"/>
                  </a:xfrm>
                  <a:prstGeom prst="rect">
                    <a:avLst/>
                  </a:prstGeom>
                </pic:spPr>
              </pic:pic>
            </a:graphicData>
          </a:graphic>
          <wp14:sizeRelH relativeFrom="page">
            <wp14:pctWidth>0</wp14:pctWidth>
          </wp14:sizeRelH>
          <wp14:sizeRelV relativeFrom="page">
            <wp14:pctHeight>0</wp14:pctHeight>
          </wp14:sizeRelV>
        </wp:anchor>
      </w:drawing>
    </w:r>
  </w:p>
  <w:p w14:paraId="3CF34257" w14:textId="77777777" w:rsidR="00833E1A" w:rsidRDefault="00833E1A" w:rsidP="00833E1A">
    <w:pPr>
      <w:pStyle w:val="Header"/>
      <w:rPr>
        <w:bCs/>
      </w:rPr>
    </w:pPr>
    <w:bookmarkStart w:id="9" w:name="_Hlk23152673"/>
    <w:r w:rsidRPr="00833E1A">
      <w:rPr>
        <w:bCs/>
      </w:rPr>
      <w:t>WECC-0146 TPL-001-WECC-CRT-3.2 Transmission System Planning Performance</w:t>
    </w:r>
  </w:p>
  <w:bookmarkEnd w:id="9"/>
  <w:p w14:paraId="5B44D666" w14:textId="26002E9A" w:rsidR="00233175" w:rsidRDefault="00FD6572" w:rsidP="00FD6572">
    <w:pPr>
      <w:pStyle w:val="Header"/>
      <w:contextualSpacing w:val="0"/>
    </w:pPr>
    <w:r>
      <w:t>Response to Comment</w:t>
    </w:r>
    <w:r w:rsidR="001B5EEC">
      <w:t xml:space="preserve">s </w:t>
    </w:r>
    <w:r>
      <w:t xml:space="preserve">Posting </w:t>
    </w:r>
    <w:r w:rsidR="00D71A5B">
      <w:t>1</w:t>
    </w:r>
  </w:p>
  <w:p w14:paraId="7AE1FC3D" w14:textId="598E7421" w:rsidR="00D674A7" w:rsidRPr="00761FA8" w:rsidRDefault="00833E1A" w:rsidP="00FD6572">
    <w:pPr>
      <w:pStyle w:val="Header"/>
      <w:contextualSpacing w:val="0"/>
    </w:pPr>
    <w:r>
      <w:t>September 14</w:t>
    </w:r>
    <w:r w:rsidR="001B5EEC">
      <w:t>–</w:t>
    </w:r>
    <w:r>
      <w:t>October 14,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4DA"/>
    <w:multiLevelType w:val="multilevel"/>
    <w:tmpl w:val="36D62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7B2585"/>
    <w:multiLevelType w:val="multilevel"/>
    <w:tmpl w:val="36D4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E25F9"/>
    <w:multiLevelType w:val="hybridMultilevel"/>
    <w:tmpl w:val="E1344C1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09E41D63"/>
    <w:multiLevelType w:val="multilevel"/>
    <w:tmpl w:val="0C1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F6564"/>
    <w:multiLevelType w:val="multilevel"/>
    <w:tmpl w:val="FFDC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911CED"/>
    <w:multiLevelType w:val="hybridMultilevel"/>
    <w:tmpl w:val="D0DC484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0EFA40DE"/>
    <w:multiLevelType w:val="hybridMultilevel"/>
    <w:tmpl w:val="80F2331C"/>
    <w:lvl w:ilvl="0" w:tplc="D7F0C31A">
      <w:start w:val="1"/>
      <w:numFmt w:val="decimal"/>
      <w:lvlText w:val="%1."/>
      <w:lvlJc w:val="left"/>
      <w:pPr>
        <w:ind w:left="720" w:hanging="360"/>
      </w:pPr>
    </w:lvl>
    <w:lvl w:ilvl="1" w:tplc="62EC591C" w:tentative="1">
      <w:start w:val="1"/>
      <w:numFmt w:val="lowerLetter"/>
      <w:lvlText w:val="%2."/>
      <w:lvlJc w:val="left"/>
      <w:pPr>
        <w:ind w:left="1440" w:hanging="360"/>
      </w:pPr>
    </w:lvl>
    <w:lvl w:ilvl="2" w:tplc="04102B54" w:tentative="1">
      <w:start w:val="1"/>
      <w:numFmt w:val="lowerRoman"/>
      <w:lvlText w:val="%3."/>
      <w:lvlJc w:val="right"/>
      <w:pPr>
        <w:ind w:left="2160" w:hanging="180"/>
      </w:pPr>
    </w:lvl>
    <w:lvl w:ilvl="3" w:tplc="922C0658" w:tentative="1">
      <w:start w:val="1"/>
      <w:numFmt w:val="decimal"/>
      <w:lvlText w:val="%4."/>
      <w:lvlJc w:val="left"/>
      <w:pPr>
        <w:ind w:left="2880" w:hanging="360"/>
      </w:pPr>
    </w:lvl>
    <w:lvl w:ilvl="4" w:tplc="B0DA2576" w:tentative="1">
      <w:start w:val="1"/>
      <w:numFmt w:val="lowerLetter"/>
      <w:lvlText w:val="%5."/>
      <w:lvlJc w:val="left"/>
      <w:pPr>
        <w:ind w:left="3600" w:hanging="360"/>
      </w:pPr>
    </w:lvl>
    <w:lvl w:ilvl="5" w:tplc="7E74B608" w:tentative="1">
      <w:start w:val="1"/>
      <w:numFmt w:val="lowerRoman"/>
      <w:lvlText w:val="%6."/>
      <w:lvlJc w:val="right"/>
      <w:pPr>
        <w:ind w:left="4320" w:hanging="180"/>
      </w:pPr>
    </w:lvl>
    <w:lvl w:ilvl="6" w:tplc="E9367A72" w:tentative="1">
      <w:start w:val="1"/>
      <w:numFmt w:val="decimal"/>
      <w:lvlText w:val="%7."/>
      <w:lvlJc w:val="left"/>
      <w:pPr>
        <w:ind w:left="5040" w:hanging="360"/>
      </w:pPr>
    </w:lvl>
    <w:lvl w:ilvl="7" w:tplc="01209AA4" w:tentative="1">
      <w:start w:val="1"/>
      <w:numFmt w:val="lowerLetter"/>
      <w:lvlText w:val="%8."/>
      <w:lvlJc w:val="left"/>
      <w:pPr>
        <w:ind w:left="5760" w:hanging="360"/>
      </w:pPr>
    </w:lvl>
    <w:lvl w:ilvl="8" w:tplc="FAF2A4BC" w:tentative="1">
      <w:start w:val="1"/>
      <w:numFmt w:val="lowerRoman"/>
      <w:lvlText w:val="%9."/>
      <w:lvlJc w:val="right"/>
      <w:pPr>
        <w:ind w:left="6480" w:hanging="180"/>
      </w:pPr>
    </w:lvl>
  </w:abstractNum>
  <w:abstractNum w:abstractNumId="7" w15:restartNumberingAfterBreak="0">
    <w:nsid w:val="19DD6D16"/>
    <w:multiLevelType w:val="multilevel"/>
    <w:tmpl w:val="592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04893"/>
    <w:multiLevelType w:val="hybridMultilevel"/>
    <w:tmpl w:val="F892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53F51"/>
    <w:multiLevelType w:val="hybridMultilevel"/>
    <w:tmpl w:val="73DE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37020"/>
    <w:multiLevelType w:val="multilevel"/>
    <w:tmpl w:val="B3D0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5783C"/>
    <w:multiLevelType w:val="hybridMultilevel"/>
    <w:tmpl w:val="DCAE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D6F83"/>
    <w:multiLevelType w:val="hybridMultilevel"/>
    <w:tmpl w:val="9DF4243A"/>
    <w:lvl w:ilvl="0" w:tplc="28BE747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F6E66"/>
    <w:multiLevelType w:val="multilevel"/>
    <w:tmpl w:val="7CF686C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0AB2CE6"/>
    <w:multiLevelType w:val="hybridMultilevel"/>
    <w:tmpl w:val="A836C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07135"/>
    <w:multiLevelType w:val="hybridMultilevel"/>
    <w:tmpl w:val="4A864706"/>
    <w:lvl w:ilvl="0" w:tplc="8F8C5A4A">
      <w:start w:val="1"/>
      <w:numFmt w:val="decimal"/>
      <w:lvlText w:val="%1)"/>
      <w:lvlJc w:val="left"/>
      <w:pPr>
        <w:ind w:left="720" w:hanging="360"/>
      </w:pPr>
      <w:rPr>
        <w:rFonts w:hint="default"/>
        <w:color w:val="3D58A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514BC"/>
    <w:multiLevelType w:val="hybridMultilevel"/>
    <w:tmpl w:val="6904256A"/>
    <w:lvl w:ilvl="0" w:tplc="1CB49276">
      <w:start w:val="1"/>
      <w:numFmt w:val="decimal"/>
      <w:lvlText w:val="%1."/>
      <w:lvlJc w:val="left"/>
      <w:pPr>
        <w:ind w:left="720" w:hanging="360"/>
      </w:pPr>
    </w:lvl>
    <w:lvl w:ilvl="1" w:tplc="25581D00" w:tentative="1">
      <w:start w:val="1"/>
      <w:numFmt w:val="lowerLetter"/>
      <w:lvlText w:val="%2."/>
      <w:lvlJc w:val="left"/>
      <w:pPr>
        <w:ind w:left="1440" w:hanging="360"/>
      </w:pPr>
    </w:lvl>
    <w:lvl w:ilvl="2" w:tplc="01427FF0" w:tentative="1">
      <w:start w:val="1"/>
      <w:numFmt w:val="lowerRoman"/>
      <w:lvlText w:val="%3."/>
      <w:lvlJc w:val="right"/>
      <w:pPr>
        <w:ind w:left="2160" w:hanging="180"/>
      </w:pPr>
    </w:lvl>
    <w:lvl w:ilvl="3" w:tplc="AB348C76" w:tentative="1">
      <w:start w:val="1"/>
      <w:numFmt w:val="decimal"/>
      <w:lvlText w:val="%4."/>
      <w:lvlJc w:val="left"/>
      <w:pPr>
        <w:ind w:left="2880" w:hanging="360"/>
      </w:pPr>
    </w:lvl>
    <w:lvl w:ilvl="4" w:tplc="124A1578" w:tentative="1">
      <w:start w:val="1"/>
      <w:numFmt w:val="lowerLetter"/>
      <w:lvlText w:val="%5."/>
      <w:lvlJc w:val="left"/>
      <w:pPr>
        <w:ind w:left="3600" w:hanging="360"/>
      </w:pPr>
    </w:lvl>
    <w:lvl w:ilvl="5" w:tplc="082A8800" w:tentative="1">
      <w:start w:val="1"/>
      <w:numFmt w:val="lowerRoman"/>
      <w:lvlText w:val="%6."/>
      <w:lvlJc w:val="right"/>
      <w:pPr>
        <w:ind w:left="4320" w:hanging="180"/>
      </w:pPr>
    </w:lvl>
    <w:lvl w:ilvl="6" w:tplc="04A44D38" w:tentative="1">
      <w:start w:val="1"/>
      <w:numFmt w:val="decimal"/>
      <w:lvlText w:val="%7."/>
      <w:lvlJc w:val="left"/>
      <w:pPr>
        <w:ind w:left="5040" w:hanging="360"/>
      </w:pPr>
    </w:lvl>
    <w:lvl w:ilvl="7" w:tplc="B5F27AD8" w:tentative="1">
      <w:start w:val="1"/>
      <w:numFmt w:val="lowerLetter"/>
      <w:lvlText w:val="%8."/>
      <w:lvlJc w:val="left"/>
      <w:pPr>
        <w:ind w:left="5760" w:hanging="360"/>
      </w:pPr>
    </w:lvl>
    <w:lvl w:ilvl="8" w:tplc="2B585650" w:tentative="1">
      <w:start w:val="1"/>
      <w:numFmt w:val="lowerRoman"/>
      <w:lvlText w:val="%9."/>
      <w:lvlJc w:val="right"/>
      <w:pPr>
        <w:ind w:left="6480" w:hanging="180"/>
      </w:pPr>
    </w:lvl>
  </w:abstractNum>
  <w:abstractNum w:abstractNumId="17" w15:restartNumberingAfterBreak="0">
    <w:nsid w:val="5BA16938"/>
    <w:multiLevelType w:val="hybridMultilevel"/>
    <w:tmpl w:val="C68CA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A505FB"/>
    <w:multiLevelType w:val="multilevel"/>
    <w:tmpl w:val="495E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8F27B5"/>
    <w:multiLevelType w:val="multilevel"/>
    <w:tmpl w:val="CEFAE8A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15:restartNumberingAfterBreak="0">
    <w:nsid w:val="63B141AE"/>
    <w:multiLevelType w:val="multilevel"/>
    <w:tmpl w:val="36D4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DB2E98"/>
    <w:multiLevelType w:val="multilevel"/>
    <w:tmpl w:val="D01074D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6EB7442B"/>
    <w:multiLevelType w:val="multilevel"/>
    <w:tmpl w:val="DD5A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1333E"/>
    <w:multiLevelType w:val="multilevel"/>
    <w:tmpl w:val="0C1A8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D20B4"/>
    <w:multiLevelType w:val="hybridMultilevel"/>
    <w:tmpl w:val="902A0714"/>
    <w:lvl w:ilvl="0" w:tplc="F99EA39C">
      <w:start w:val="1"/>
      <w:numFmt w:val="bullet"/>
      <w:lvlText w:val=""/>
      <w:lvlJc w:val="left"/>
      <w:pPr>
        <w:ind w:left="720" w:hanging="360"/>
      </w:pPr>
      <w:rPr>
        <w:rFonts w:ascii="Symbol" w:hAnsi="Symbol" w:hint="default"/>
      </w:rPr>
    </w:lvl>
    <w:lvl w:ilvl="1" w:tplc="07E2E8F8" w:tentative="1">
      <w:start w:val="1"/>
      <w:numFmt w:val="bullet"/>
      <w:lvlText w:val="o"/>
      <w:lvlJc w:val="left"/>
      <w:pPr>
        <w:ind w:left="1440" w:hanging="360"/>
      </w:pPr>
      <w:rPr>
        <w:rFonts w:ascii="Courier New" w:hAnsi="Courier New" w:cs="Courier New" w:hint="default"/>
      </w:rPr>
    </w:lvl>
    <w:lvl w:ilvl="2" w:tplc="1B4A3312" w:tentative="1">
      <w:start w:val="1"/>
      <w:numFmt w:val="bullet"/>
      <w:lvlText w:val=""/>
      <w:lvlJc w:val="left"/>
      <w:pPr>
        <w:ind w:left="2160" w:hanging="360"/>
      </w:pPr>
      <w:rPr>
        <w:rFonts w:ascii="Wingdings" w:hAnsi="Wingdings" w:hint="default"/>
      </w:rPr>
    </w:lvl>
    <w:lvl w:ilvl="3" w:tplc="BAE0C15C" w:tentative="1">
      <w:start w:val="1"/>
      <w:numFmt w:val="bullet"/>
      <w:lvlText w:val=""/>
      <w:lvlJc w:val="left"/>
      <w:pPr>
        <w:ind w:left="2880" w:hanging="360"/>
      </w:pPr>
      <w:rPr>
        <w:rFonts w:ascii="Symbol" w:hAnsi="Symbol" w:hint="default"/>
      </w:rPr>
    </w:lvl>
    <w:lvl w:ilvl="4" w:tplc="817ABDC6" w:tentative="1">
      <w:start w:val="1"/>
      <w:numFmt w:val="bullet"/>
      <w:lvlText w:val="o"/>
      <w:lvlJc w:val="left"/>
      <w:pPr>
        <w:ind w:left="3600" w:hanging="360"/>
      </w:pPr>
      <w:rPr>
        <w:rFonts w:ascii="Courier New" w:hAnsi="Courier New" w:cs="Courier New" w:hint="default"/>
      </w:rPr>
    </w:lvl>
    <w:lvl w:ilvl="5" w:tplc="E8268CF6" w:tentative="1">
      <w:start w:val="1"/>
      <w:numFmt w:val="bullet"/>
      <w:lvlText w:val=""/>
      <w:lvlJc w:val="left"/>
      <w:pPr>
        <w:ind w:left="4320" w:hanging="360"/>
      </w:pPr>
      <w:rPr>
        <w:rFonts w:ascii="Wingdings" w:hAnsi="Wingdings" w:hint="default"/>
      </w:rPr>
    </w:lvl>
    <w:lvl w:ilvl="6" w:tplc="4FD89D18" w:tentative="1">
      <w:start w:val="1"/>
      <w:numFmt w:val="bullet"/>
      <w:lvlText w:val=""/>
      <w:lvlJc w:val="left"/>
      <w:pPr>
        <w:ind w:left="5040" w:hanging="360"/>
      </w:pPr>
      <w:rPr>
        <w:rFonts w:ascii="Symbol" w:hAnsi="Symbol" w:hint="default"/>
      </w:rPr>
    </w:lvl>
    <w:lvl w:ilvl="7" w:tplc="3C5E655E" w:tentative="1">
      <w:start w:val="1"/>
      <w:numFmt w:val="bullet"/>
      <w:lvlText w:val="o"/>
      <w:lvlJc w:val="left"/>
      <w:pPr>
        <w:ind w:left="5760" w:hanging="360"/>
      </w:pPr>
      <w:rPr>
        <w:rFonts w:ascii="Courier New" w:hAnsi="Courier New" w:cs="Courier New" w:hint="default"/>
      </w:rPr>
    </w:lvl>
    <w:lvl w:ilvl="8" w:tplc="28DA7932" w:tentative="1">
      <w:start w:val="1"/>
      <w:numFmt w:val="bullet"/>
      <w:lvlText w:val=""/>
      <w:lvlJc w:val="left"/>
      <w:pPr>
        <w:ind w:left="6480" w:hanging="360"/>
      </w:pPr>
      <w:rPr>
        <w:rFonts w:ascii="Wingdings" w:hAnsi="Wingdings" w:hint="default"/>
      </w:rPr>
    </w:lvl>
  </w:abstractNum>
  <w:abstractNum w:abstractNumId="25" w15:restartNumberingAfterBreak="0">
    <w:nsid w:val="71824EC9"/>
    <w:multiLevelType w:val="hybridMultilevel"/>
    <w:tmpl w:val="732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11AEC"/>
    <w:multiLevelType w:val="hybridMultilevel"/>
    <w:tmpl w:val="096498A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73DA5445"/>
    <w:multiLevelType w:val="multilevel"/>
    <w:tmpl w:val="6460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4065724">
    <w:abstractNumId w:val="25"/>
  </w:num>
  <w:num w:numId="2" w16cid:durableId="1705592928">
    <w:abstractNumId w:val="16"/>
  </w:num>
  <w:num w:numId="3" w16cid:durableId="1845044868">
    <w:abstractNumId w:val="6"/>
  </w:num>
  <w:num w:numId="4" w16cid:durableId="1467969078">
    <w:abstractNumId w:val="11"/>
  </w:num>
  <w:num w:numId="5" w16cid:durableId="1476996210">
    <w:abstractNumId w:val="26"/>
  </w:num>
  <w:num w:numId="6" w16cid:durableId="83428303">
    <w:abstractNumId w:val="13"/>
  </w:num>
  <w:num w:numId="7" w16cid:durableId="251621308">
    <w:abstractNumId w:val="24"/>
  </w:num>
  <w:num w:numId="8" w16cid:durableId="1889225738">
    <w:abstractNumId w:val="19"/>
  </w:num>
  <w:num w:numId="9" w16cid:durableId="2027244492">
    <w:abstractNumId w:val="21"/>
  </w:num>
  <w:num w:numId="10" w16cid:durableId="1767385915">
    <w:abstractNumId w:val="12"/>
  </w:num>
  <w:num w:numId="11" w16cid:durableId="438376657">
    <w:abstractNumId w:val="12"/>
    <w:lvlOverride w:ilvl="0">
      <w:startOverride w:val="1"/>
    </w:lvlOverride>
  </w:num>
  <w:num w:numId="12" w16cid:durableId="849566797">
    <w:abstractNumId w:val="14"/>
  </w:num>
  <w:num w:numId="13" w16cid:durableId="1580863888">
    <w:abstractNumId w:val="8"/>
  </w:num>
  <w:num w:numId="14" w16cid:durableId="1813906238">
    <w:abstractNumId w:val="23"/>
  </w:num>
  <w:num w:numId="15" w16cid:durableId="69088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4842793">
    <w:abstractNumId w:val="3"/>
  </w:num>
  <w:num w:numId="17" w16cid:durableId="1749837898">
    <w:abstractNumId w:val="18"/>
  </w:num>
  <w:num w:numId="18" w16cid:durableId="2090302600">
    <w:abstractNumId w:val="7"/>
  </w:num>
  <w:num w:numId="19" w16cid:durableId="1051268954">
    <w:abstractNumId w:val="10"/>
  </w:num>
  <w:num w:numId="20" w16cid:durableId="691998811">
    <w:abstractNumId w:val="27"/>
  </w:num>
  <w:num w:numId="21" w16cid:durableId="1579049644">
    <w:abstractNumId w:val="22"/>
  </w:num>
  <w:num w:numId="22" w16cid:durableId="1121923489">
    <w:abstractNumId w:val="12"/>
    <w:lvlOverride w:ilvl="0">
      <w:startOverride w:val="1"/>
    </w:lvlOverride>
  </w:num>
  <w:num w:numId="23" w16cid:durableId="1518346580">
    <w:abstractNumId w:val="1"/>
  </w:num>
  <w:num w:numId="24" w16cid:durableId="1625844999">
    <w:abstractNumId w:val="4"/>
  </w:num>
  <w:num w:numId="25" w16cid:durableId="546527712">
    <w:abstractNumId w:val="20"/>
  </w:num>
  <w:num w:numId="26" w16cid:durableId="210507406">
    <w:abstractNumId w:val="2"/>
  </w:num>
  <w:num w:numId="27" w16cid:durableId="2048990551">
    <w:abstractNumId w:val="15"/>
  </w:num>
  <w:num w:numId="28" w16cid:durableId="1834419080">
    <w:abstractNumId w:val="9"/>
  </w:num>
  <w:num w:numId="29" w16cid:durableId="605697321">
    <w:abstractNumId w:val="5"/>
  </w:num>
  <w:num w:numId="30" w16cid:durableId="556934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oofState w:spelling="clean" w:grammar="clean"/>
  <w:attachedTemplate r:id="rId1"/>
  <w:trackRevisions/>
  <w:defaultTabStop w:val="720"/>
  <w:defaultTableStyle w:val="WECCTable"/>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zc0NzQzNbI0NTdX0lEKTi0uzszPAykwrAUAKQBTniwAAAA="/>
  </w:docVars>
  <w:rsids>
    <w:rsidRoot w:val="0053685B"/>
    <w:rsid w:val="0000557C"/>
    <w:rsid w:val="0000744C"/>
    <w:rsid w:val="00012FEE"/>
    <w:rsid w:val="00017C30"/>
    <w:rsid w:val="00023A2F"/>
    <w:rsid w:val="00033171"/>
    <w:rsid w:val="00035493"/>
    <w:rsid w:val="000544F0"/>
    <w:rsid w:val="00060803"/>
    <w:rsid w:val="000625C8"/>
    <w:rsid w:val="00064067"/>
    <w:rsid w:val="00071F78"/>
    <w:rsid w:val="000733F6"/>
    <w:rsid w:val="00096702"/>
    <w:rsid w:val="000A1755"/>
    <w:rsid w:val="000A4DDD"/>
    <w:rsid w:val="000B360E"/>
    <w:rsid w:val="000D56D6"/>
    <w:rsid w:val="000D7344"/>
    <w:rsid w:val="000E3160"/>
    <w:rsid w:val="000F614E"/>
    <w:rsid w:val="0010153E"/>
    <w:rsid w:val="00104AE7"/>
    <w:rsid w:val="0011358A"/>
    <w:rsid w:val="001208EE"/>
    <w:rsid w:val="0012474D"/>
    <w:rsid w:val="001469BB"/>
    <w:rsid w:val="001636D2"/>
    <w:rsid w:val="00171A03"/>
    <w:rsid w:val="001864C5"/>
    <w:rsid w:val="001A6A21"/>
    <w:rsid w:val="001B5EEC"/>
    <w:rsid w:val="001B7CE9"/>
    <w:rsid w:val="001C2248"/>
    <w:rsid w:val="001C497F"/>
    <w:rsid w:val="001C7E2D"/>
    <w:rsid w:val="001E1B6F"/>
    <w:rsid w:val="001E561E"/>
    <w:rsid w:val="001F3CEC"/>
    <w:rsid w:val="0020289C"/>
    <w:rsid w:val="00203374"/>
    <w:rsid w:val="0022514A"/>
    <w:rsid w:val="002267AC"/>
    <w:rsid w:val="00233175"/>
    <w:rsid w:val="00263D03"/>
    <w:rsid w:val="00270172"/>
    <w:rsid w:val="00296561"/>
    <w:rsid w:val="002969E3"/>
    <w:rsid w:val="002A10EA"/>
    <w:rsid w:val="002A6673"/>
    <w:rsid w:val="002B292F"/>
    <w:rsid w:val="002B4DA5"/>
    <w:rsid w:val="002C1AB2"/>
    <w:rsid w:val="002D79C5"/>
    <w:rsid w:val="002E1330"/>
    <w:rsid w:val="00312BD8"/>
    <w:rsid w:val="00323BC9"/>
    <w:rsid w:val="00324BF2"/>
    <w:rsid w:val="00325D2C"/>
    <w:rsid w:val="00370BF3"/>
    <w:rsid w:val="00371F31"/>
    <w:rsid w:val="00373E5B"/>
    <w:rsid w:val="0037512B"/>
    <w:rsid w:val="003802FB"/>
    <w:rsid w:val="003872E3"/>
    <w:rsid w:val="003A001E"/>
    <w:rsid w:val="003A079E"/>
    <w:rsid w:val="003A1E3E"/>
    <w:rsid w:val="003A1EB3"/>
    <w:rsid w:val="003A5038"/>
    <w:rsid w:val="003D767B"/>
    <w:rsid w:val="003E1973"/>
    <w:rsid w:val="003E5939"/>
    <w:rsid w:val="003F3940"/>
    <w:rsid w:val="003F4AD9"/>
    <w:rsid w:val="003F7D87"/>
    <w:rsid w:val="0043738A"/>
    <w:rsid w:val="00454D47"/>
    <w:rsid w:val="004578CE"/>
    <w:rsid w:val="00466D5C"/>
    <w:rsid w:val="00472137"/>
    <w:rsid w:val="00483713"/>
    <w:rsid w:val="004A0BC8"/>
    <w:rsid w:val="004D1F97"/>
    <w:rsid w:val="004E3D0A"/>
    <w:rsid w:val="004E7D99"/>
    <w:rsid w:val="004F352F"/>
    <w:rsid w:val="00504175"/>
    <w:rsid w:val="00504559"/>
    <w:rsid w:val="0050729A"/>
    <w:rsid w:val="005144DB"/>
    <w:rsid w:val="00523296"/>
    <w:rsid w:val="00533CFD"/>
    <w:rsid w:val="0053685B"/>
    <w:rsid w:val="00550DB3"/>
    <w:rsid w:val="00571E4F"/>
    <w:rsid w:val="00591600"/>
    <w:rsid w:val="00597BEB"/>
    <w:rsid w:val="005A2805"/>
    <w:rsid w:val="005A289B"/>
    <w:rsid w:val="005A48F3"/>
    <w:rsid w:val="005A728A"/>
    <w:rsid w:val="005B5557"/>
    <w:rsid w:val="005B679F"/>
    <w:rsid w:val="005E461E"/>
    <w:rsid w:val="005F5FB9"/>
    <w:rsid w:val="00603CB7"/>
    <w:rsid w:val="0061413B"/>
    <w:rsid w:val="0062691A"/>
    <w:rsid w:val="00636BEB"/>
    <w:rsid w:val="00647577"/>
    <w:rsid w:val="00673614"/>
    <w:rsid w:val="00677CE1"/>
    <w:rsid w:val="006A10DF"/>
    <w:rsid w:val="006A143D"/>
    <w:rsid w:val="006A6A7B"/>
    <w:rsid w:val="006C0A2C"/>
    <w:rsid w:val="006E6397"/>
    <w:rsid w:val="006F6E46"/>
    <w:rsid w:val="00702D91"/>
    <w:rsid w:val="00706A70"/>
    <w:rsid w:val="007130D6"/>
    <w:rsid w:val="007176F3"/>
    <w:rsid w:val="0073777A"/>
    <w:rsid w:val="00752DA7"/>
    <w:rsid w:val="00761FA8"/>
    <w:rsid w:val="00777338"/>
    <w:rsid w:val="00782755"/>
    <w:rsid w:val="00795B5F"/>
    <w:rsid w:val="007A400F"/>
    <w:rsid w:val="007A46E1"/>
    <w:rsid w:val="007A64C7"/>
    <w:rsid w:val="007B7D2E"/>
    <w:rsid w:val="007C1F04"/>
    <w:rsid w:val="007C76CD"/>
    <w:rsid w:val="007D10F7"/>
    <w:rsid w:val="007D236B"/>
    <w:rsid w:val="007D2436"/>
    <w:rsid w:val="007E0446"/>
    <w:rsid w:val="007E11F2"/>
    <w:rsid w:val="0080492E"/>
    <w:rsid w:val="008110DF"/>
    <w:rsid w:val="00813C43"/>
    <w:rsid w:val="008150B2"/>
    <w:rsid w:val="008161B2"/>
    <w:rsid w:val="008279AC"/>
    <w:rsid w:val="00833E1A"/>
    <w:rsid w:val="00836800"/>
    <w:rsid w:val="0084086C"/>
    <w:rsid w:val="00843E7D"/>
    <w:rsid w:val="008446F5"/>
    <w:rsid w:val="008569D3"/>
    <w:rsid w:val="008575F4"/>
    <w:rsid w:val="00864C89"/>
    <w:rsid w:val="00871FD3"/>
    <w:rsid w:val="00874BBC"/>
    <w:rsid w:val="008A57E3"/>
    <w:rsid w:val="008B4DD7"/>
    <w:rsid w:val="008D7432"/>
    <w:rsid w:val="008E2D28"/>
    <w:rsid w:val="008E5A62"/>
    <w:rsid w:val="008E7488"/>
    <w:rsid w:val="008E7B30"/>
    <w:rsid w:val="008E7FEE"/>
    <w:rsid w:val="008F0248"/>
    <w:rsid w:val="008F14B2"/>
    <w:rsid w:val="008F3E53"/>
    <w:rsid w:val="008F647B"/>
    <w:rsid w:val="00913528"/>
    <w:rsid w:val="00917197"/>
    <w:rsid w:val="00924769"/>
    <w:rsid w:val="00931844"/>
    <w:rsid w:val="0094025E"/>
    <w:rsid w:val="00945920"/>
    <w:rsid w:val="00955581"/>
    <w:rsid w:val="00965469"/>
    <w:rsid w:val="00973BFC"/>
    <w:rsid w:val="00973DB0"/>
    <w:rsid w:val="009751A5"/>
    <w:rsid w:val="009760A9"/>
    <w:rsid w:val="00977C61"/>
    <w:rsid w:val="009A4D48"/>
    <w:rsid w:val="009B19EE"/>
    <w:rsid w:val="009C1A37"/>
    <w:rsid w:val="009E040B"/>
    <w:rsid w:val="009E1D07"/>
    <w:rsid w:val="00A1463B"/>
    <w:rsid w:val="00A25B0B"/>
    <w:rsid w:val="00A27E3A"/>
    <w:rsid w:val="00A323FE"/>
    <w:rsid w:val="00A350CB"/>
    <w:rsid w:val="00A55FDC"/>
    <w:rsid w:val="00A80B6E"/>
    <w:rsid w:val="00A9036D"/>
    <w:rsid w:val="00AA28B5"/>
    <w:rsid w:val="00AA346D"/>
    <w:rsid w:val="00AA4836"/>
    <w:rsid w:val="00AA7261"/>
    <w:rsid w:val="00AE4F6F"/>
    <w:rsid w:val="00B0700F"/>
    <w:rsid w:val="00B076C7"/>
    <w:rsid w:val="00B14047"/>
    <w:rsid w:val="00B14107"/>
    <w:rsid w:val="00B1669F"/>
    <w:rsid w:val="00B2167C"/>
    <w:rsid w:val="00B24F85"/>
    <w:rsid w:val="00B41360"/>
    <w:rsid w:val="00B41D6B"/>
    <w:rsid w:val="00B437B5"/>
    <w:rsid w:val="00B44DA8"/>
    <w:rsid w:val="00B45011"/>
    <w:rsid w:val="00B52279"/>
    <w:rsid w:val="00B52F24"/>
    <w:rsid w:val="00B5418D"/>
    <w:rsid w:val="00B6235E"/>
    <w:rsid w:val="00B75012"/>
    <w:rsid w:val="00B76561"/>
    <w:rsid w:val="00BA7DBE"/>
    <w:rsid w:val="00BA7E4F"/>
    <w:rsid w:val="00BB63D7"/>
    <w:rsid w:val="00BD47CC"/>
    <w:rsid w:val="00BF2037"/>
    <w:rsid w:val="00BF5265"/>
    <w:rsid w:val="00BF653F"/>
    <w:rsid w:val="00BF79BD"/>
    <w:rsid w:val="00C05765"/>
    <w:rsid w:val="00C10053"/>
    <w:rsid w:val="00C132E2"/>
    <w:rsid w:val="00C15211"/>
    <w:rsid w:val="00C22CF7"/>
    <w:rsid w:val="00C23325"/>
    <w:rsid w:val="00C27BD9"/>
    <w:rsid w:val="00C36A03"/>
    <w:rsid w:val="00C40AE9"/>
    <w:rsid w:val="00C51B37"/>
    <w:rsid w:val="00C558E0"/>
    <w:rsid w:val="00C65FA8"/>
    <w:rsid w:val="00C66DC1"/>
    <w:rsid w:val="00C70D36"/>
    <w:rsid w:val="00C77307"/>
    <w:rsid w:val="00C87902"/>
    <w:rsid w:val="00CB06A5"/>
    <w:rsid w:val="00CD26FD"/>
    <w:rsid w:val="00CD2804"/>
    <w:rsid w:val="00CD2870"/>
    <w:rsid w:val="00CD2BD3"/>
    <w:rsid w:val="00CE3853"/>
    <w:rsid w:val="00CE7B4A"/>
    <w:rsid w:val="00CF774D"/>
    <w:rsid w:val="00D01FB6"/>
    <w:rsid w:val="00D07301"/>
    <w:rsid w:val="00D10167"/>
    <w:rsid w:val="00D103FF"/>
    <w:rsid w:val="00D12784"/>
    <w:rsid w:val="00D26DF2"/>
    <w:rsid w:val="00D318C0"/>
    <w:rsid w:val="00D334D6"/>
    <w:rsid w:val="00D47B2D"/>
    <w:rsid w:val="00D524F1"/>
    <w:rsid w:val="00D57D83"/>
    <w:rsid w:val="00D605B4"/>
    <w:rsid w:val="00D66C70"/>
    <w:rsid w:val="00D674A7"/>
    <w:rsid w:val="00D7193F"/>
    <w:rsid w:val="00D71A5B"/>
    <w:rsid w:val="00D768E9"/>
    <w:rsid w:val="00D83860"/>
    <w:rsid w:val="00D918C1"/>
    <w:rsid w:val="00D930AD"/>
    <w:rsid w:val="00D96775"/>
    <w:rsid w:val="00DB0CB8"/>
    <w:rsid w:val="00DB3148"/>
    <w:rsid w:val="00DC0A81"/>
    <w:rsid w:val="00DC5C72"/>
    <w:rsid w:val="00DC79CC"/>
    <w:rsid w:val="00DD448C"/>
    <w:rsid w:val="00DE327E"/>
    <w:rsid w:val="00DE4285"/>
    <w:rsid w:val="00DE62EB"/>
    <w:rsid w:val="00DF32C3"/>
    <w:rsid w:val="00DF6016"/>
    <w:rsid w:val="00E06FFA"/>
    <w:rsid w:val="00E115FD"/>
    <w:rsid w:val="00E2192C"/>
    <w:rsid w:val="00E365C9"/>
    <w:rsid w:val="00E5288E"/>
    <w:rsid w:val="00E5719E"/>
    <w:rsid w:val="00E60569"/>
    <w:rsid w:val="00E71EF0"/>
    <w:rsid w:val="00E94146"/>
    <w:rsid w:val="00E95EE6"/>
    <w:rsid w:val="00E9672B"/>
    <w:rsid w:val="00E97E19"/>
    <w:rsid w:val="00EA0066"/>
    <w:rsid w:val="00EA0E33"/>
    <w:rsid w:val="00EA2394"/>
    <w:rsid w:val="00EB1C0F"/>
    <w:rsid w:val="00EB61A0"/>
    <w:rsid w:val="00EC04D7"/>
    <w:rsid w:val="00ED3F4A"/>
    <w:rsid w:val="00EF577D"/>
    <w:rsid w:val="00EF5DFE"/>
    <w:rsid w:val="00F073A6"/>
    <w:rsid w:val="00F10538"/>
    <w:rsid w:val="00F22869"/>
    <w:rsid w:val="00F24D4A"/>
    <w:rsid w:val="00F25A36"/>
    <w:rsid w:val="00F34704"/>
    <w:rsid w:val="00F47D9F"/>
    <w:rsid w:val="00F52A49"/>
    <w:rsid w:val="00F54BC0"/>
    <w:rsid w:val="00F5703F"/>
    <w:rsid w:val="00F82512"/>
    <w:rsid w:val="00F853EC"/>
    <w:rsid w:val="00F85A6B"/>
    <w:rsid w:val="00F8781A"/>
    <w:rsid w:val="00FB3507"/>
    <w:rsid w:val="00FC5444"/>
    <w:rsid w:val="00FD2A60"/>
    <w:rsid w:val="00FD31D4"/>
    <w:rsid w:val="00FD487D"/>
    <w:rsid w:val="00FD4DD8"/>
    <w:rsid w:val="00FD6572"/>
    <w:rsid w:val="00FE6A90"/>
    <w:rsid w:val="00FF343F"/>
    <w:rsid w:val="00FF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DDF"/>
  <w15:chartTrackingRefBased/>
  <w15:docId w15:val="{EBCDFD62-C668-45D7-8A22-339E2C03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71"/>
    <w:rPr>
      <w:rFonts w:ascii="Palatino Linotype" w:hAnsi="Palatino Linotype"/>
    </w:rPr>
  </w:style>
  <w:style w:type="paragraph" w:styleId="Heading1">
    <w:name w:val="heading 1"/>
    <w:basedOn w:val="Normal"/>
    <w:next w:val="Normal"/>
    <w:link w:val="Heading1Char"/>
    <w:uiPriority w:val="2"/>
    <w:qFormat/>
    <w:rsid w:val="0053685B"/>
    <w:pPr>
      <w:keepNext/>
      <w:keepLines/>
      <w:pBdr>
        <w:bottom w:val="single" w:sz="12" w:space="1" w:color="414042"/>
      </w:pBdr>
      <w:suppressAutoHyphens/>
      <w:spacing w:before="240"/>
      <w:outlineLvl w:val="0"/>
    </w:pPr>
    <w:rPr>
      <w:rFonts w:ascii="Lucida Sans" w:eastAsiaTheme="majorEastAsia" w:hAnsi="Lucida Sans" w:cstheme="majorBidi"/>
      <w:b/>
      <w:bCs/>
      <w:color w:val="000000" w:themeColor="text1"/>
      <w:sz w:val="27"/>
      <w:szCs w:val="26"/>
    </w:rPr>
  </w:style>
  <w:style w:type="paragraph" w:styleId="Heading2">
    <w:name w:val="heading 2"/>
    <w:basedOn w:val="Normal"/>
    <w:next w:val="Normal"/>
    <w:link w:val="Heading2Char"/>
    <w:uiPriority w:val="3"/>
    <w:unhideWhenUsed/>
    <w:qFormat/>
    <w:rsid w:val="0053685B"/>
    <w:pPr>
      <w:keepNext/>
      <w:keepLines/>
      <w:suppressAutoHyphens/>
      <w:spacing w:before="240"/>
      <w:outlineLvl w:val="1"/>
    </w:pPr>
    <w:rPr>
      <w:rFonts w:ascii="Lucida Sans" w:hAnsi="Lucida Sans"/>
      <w:b/>
      <w:sz w:val="24"/>
    </w:rPr>
  </w:style>
  <w:style w:type="paragraph" w:styleId="Heading3">
    <w:name w:val="heading 3"/>
    <w:basedOn w:val="Normal"/>
    <w:next w:val="Normal"/>
    <w:link w:val="Heading3Char"/>
    <w:uiPriority w:val="4"/>
    <w:unhideWhenUsed/>
    <w:qFormat/>
    <w:rsid w:val="009A4D48"/>
    <w:pPr>
      <w:suppressAutoHyphens/>
      <w:spacing w:before="240"/>
      <w:outlineLvl w:val="2"/>
    </w:pPr>
    <w:rPr>
      <w:rFonts w:ascii="Lucida Sans" w:hAnsi="Lucida Sans"/>
      <w:b/>
    </w:rPr>
  </w:style>
  <w:style w:type="paragraph" w:styleId="Heading4">
    <w:name w:val="heading 4"/>
    <w:basedOn w:val="Normal"/>
    <w:next w:val="Normal"/>
    <w:link w:val="Heading4Char"/>
    <w:uiPriority w:val="5"/>
    <w:unhideWhenUsed/>
    <w:qFormat/>
    <w:rsid w:val="009A4D48"/>
    <w:pPr>
      <w:keepNext/>
      <w:keepLines/>
      <w:spacing w:before="2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69"/>
    <w:pPr>
      <w:tabs>
        <w:tab w:val="center" w:pos="5040"/>
        <w:tab w:val="right" w:pos="10080"/>
      </w:tabs>
      <w:spacing w:before="120"/>
      <w:contextualSpacing/>
      <w:jc w:val="right"/>
    </w:pPr>
    <w:rPr>
      <w:rFonts w:ascii="Lucida Sans" w:hAnsi="Lucida Sans"/>
      <w:b/>
      <w:color w:val="00395D"/>
      <w:sz w:val="24"/>
      <w:szCs w:val="24"/>
    </w:rPr>
  </w:style>
  <w:style w:type="character" w:customStyle="1" w:styleId="HeaderChar">
    <w:name w:val="Header Char"/>
    <w:basedOn w:val="DefaultParagraphFont"/>
    <w:link w:val="Header"/>
    <w:uiPriority w:val="99"/>
    <w:rsid w:val="00E60569"/>
    <w:rPr>
      <w:rFonts w:ascii="Lucida Sans" w:hAnsi="Lucida Sans"/>
      <w:b/>
      <w:color w:val="00395D"/>
      <w:sz w:val="24"/>
      <w:szCs w:val="24"/>
    </w:rPr>
  </w:style>
  <w:style w:type="paragraph" w:styleId="Footer">
    <w:name w:val="footer"/>
    <w:basedOn w:val="Normal"/>
    <w:link w:val="FooterChar"/>
    <w:uiPriority w:val="99"/>
    <w:unhideWhenUsed/>
    <w:rsid w:val="00E60569"/>
    <w:pPr>
      <w:tabs>
        <w:tab w:val="center" w:pos="4680"/>
        <w:tab w:val="right" w:pos="10080"/>
      </w:tabs>
      <w:spacing w:after="0" w:line="240" w:lineRule="auto"/>
    </w:pPr>
    <w:rPr>
      <w:rFonts w:ascii="Lucida Sans" w:hAnsi="Lucida Sans"/>
      <w:b/>
      <w:noProof/>
      <w:color w:val="00395D"/>
      <w:sz w:val="24"/>
      <w:szCs w:val="24"/>
    </w:rPr>
  </w:style>
  <w:style w:type="character" w:customStyle="1" w:styleId="FooterChar">
    <w:name w:val="Footer Char"/>
    <w:basedOn w:val="DefaultParagraphFont"/>
    <w:link w:val="Footer"/>
    <w:uiPriority w:val="99"/>
    <w:rsid w:val="00E60569"/>
    <w:rPr>
      <w:rFonts w:ascii="Lucida Sans" w:hAnsi="Lucida Sans"/>
      <w:b/>
      <w:noProof/>
      <w:color w:val="00395D"/>
      <w:sz w:val="24"/>
      <w:szCs w:val="24"/>
    </w:rPr>
  </w:style>
  <w:style w:type="character" w:customStyle="1" w:styleId="Heading1Char">
    <w:name w:val="Heading 1 Char"/>
    <w:basedOn w:val="DefaultParagraphFont"/>
    <w:link w:val="Heading1"/>
    <w:uiPriority w:val="2"/>
    <w:rsid w:val="0053685B"/>
    <w:rPr>
      <w:rFonts w:ascii="Lucida Sans" w:eastAsiaTheme="majorEastAsia" w:hAnsi="Lucida Sans" w:cstheme="majorBidi"/>
      <w:b/>
      <w:bCs/>
      <w:color w:val="000000" w:themeColor="text1"/>
      <w:sz w:val="27"/>
      <w:szCs w:val="26"/>
    </w:rPr>
  </w:style>
  <w:style w:type="character" w:styleId="Hyperlink">
    <w:name w:val="Hyperlink"/>
    <w:basedOn w:val="DefaultParagraphFont"/>
    <w:unhideWhenUsed/>
    <w:qFormat/>
    <w:rsid w:val="00323BC9"/>
    <w:rPr>
      <w:color w:val="0000FF" w:themeColor="hyperlink"/>
      <w:u w:val="single"/>
    </w:rPr>
  </w:style>
  <w:style w:type="paragraph" w:styleId="ListParagraph">
    <w:name w:val="List Paragraph"/>
    <w:basedOn w:val="Normal"/>
    <w:uiPriority w:val="34"/>
    <w:qFormat/>
    <w:rsid w:val="008446F5"/>
    <w:pPr>
      <w:numPr>
        <w:numId w:val="10"/>
      </w:numPr>
      <w:suppressAutoHyphens/>
      <w:spacing w:before="120"/>
      <w:ind w:left="360"/>
      <w:contextualSpacing/>
    </w:pPr>
  </w:style>
  <w:style w:type="character" w:styleId="CommentReference">
    <w:name w:val="annotation reference"/>
    <w:basedOn w:val="DefaultParagraphFont"/>
    <w:uiPriority w:val="99"/>
    <w:semiHidden/>
    <w:unhideWhenUsed/>
    <w:rsid w:val="004D1F97"/>
    <w:rPr>
      <w:sz w:val="16"/>
      <w:szCs w:val="16"/>
    </w:rPr>
  </w:style>
  <w:style w:type="paragraph" w:styleId="CommentText">
    <w:name w:val="annotation text"/>
    <w:basedOn w:val="Normal"/>
    <w:link w:val="CommentTextChar"/>
    <w:uiPriority w:val="99"/>
    <w:semiHidden/>
    <w:unhideWhenUsed/>
    <w:rsid w:val="004D1F97"/>
    <w:pPr>
      <w:spacing w:line="240" w:lineRule="auto"/>
    </w:pPr>
    <w:rPr>
      <w:sz w:val="20"/>
      <w:szCs w:val="20"/>
    </w:rPr>
  </w:style>
  <w:style w:type="character" w:customStyle="1" w:styleId="CommentTextChar">
    <w:name w:val="Comment Text Char"/>
    <w:basedOn w:val="DefaultParagraphFont"/>
    <w:link w:val="CommentText"/>
    <w:uiPriority w:val="99"/>
    <w:semiHidden/>
    <w:rsid w:val="004D1F97"/>
    <w:rPr>
      <w:sz w:val="20"/>
      <w:szCs w:val="20"/>
    </w:rPr>
  </w:style>
  <w:style w:type="paragraph" w:styleId="CommentSubject">
    <w:name w:val="annotation subject"/>
    <w:basedOn w:val="CommentText"/>
    <w:next w:val="CommentText"/>
    <w:link w:val="CommentSubjectChar"/>
    <w:uiPriority w:val="99"/>
    <w:semiHidden/>
    <w:unhideWhenUsed/>
    <w:rsid w:val="004D1F97"/>
    <w:rPr>
      <w:b/>
      <w:bCs/>
    </w:rPr>
  </w:style>
  <w:style w:type="character" w:customStyle="1" w:styleId="CommentSubjectChar">
    <w:name w:val="Comment Subject Char"/>
    <w:basedOn w:val="CommentTextChar"/>
    <w:link w:val="CommentSubject"/>
    <w:uiPriority w:val="99"/>
    <w:semiHidden/>
    <w:rsid w:val="004D1F97"/>
    <w:rPr>
      <w:b/>
      <w:bCs/>
      <w:sz w:val="20"/>
      <w:szCs w:val="20"/>
    </w:rPr>
  </w:style>
  <w:style w:type="paragraph" w:styleId="BalloonText">
    <w:name w:val="Balloon Text"/>
    <w:basedOn w:val="Normal"/>
    <w:link w:val="BalloonTextChar"/>
    <w:uiPriority w:val="99"/>
    <w:semiHidden/>
    <w:unhideWhenUsed/>
    <w:rsid w:val="004D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F97"/>
    <w:rPr>
      <w:rFonts w:ascii="Segoe UI" w:hAnsi="Segoe UI" w:cs="Segoe UI"/>
      <w:sz w:val="18"/>
      <w:szCs w:val="18"/>
    </w:rPr>
  </w:style>
  <w:style w:type="paragraph" w:styleId="Title">
    <w:name w:val="Title"/>
    <w:basedOn w:val="Header"/>
    <w:next w:val="Normal"/>
    <w:link w:val="TitleChar"/>
    <w:uiPriority w:val="10"/>
    <w:rsid w:val="009A4D48"/>
    <w:pPr>
      <w:spacing w:after="60"/>
    </w:pPr>
    <w:rPr>
      <w:b w:val="0"/>
    </w:rPr>
  </w:style>
  <w:style w:type="character" w:customStyle="1" w:styleId="TitleChar">
    <w:name w:val="Title Char"/>
    <w:basedOn w:val="DefaultParagraphFont"/>
    <w:link w:val="Title"/>
    <w:uiPriority w:val="10"/>
    <w:rsid w:val="009A4D48"/>
    <w:rPr>
      <w:rFonts w:ascii="Lucida Sans" w:hAnsi="Lucida Sans"/>
      <w:b/>
      <w:color w:val="00395D"/>
      <w:sz w:val="24"/>
      <w:szCs w:val="24"/>
    </w:rPr>
  </w:style>
  <w:style w:type="character" w:customStyle="1" w:styleId="Heading2Char">
    <w:name w:val="Heading 2 Char"/>
    <w:basedOn w:val="DefaultParagraphFont"/>
    <w:link w:val="Heading2"/>
    <w:uiPriority w:val="3"/>
    <w:rsid w:val="0053685B"/>
    <w:rPr>
      <w:rFonts w:ascii="Lucida Sans" w:hAnsi="Lucida Sans"/>
      <w:b/>
      <w:sz w:val="24"/>
    </w:rPr>
  </w:style>
  <w:style w:type="character" w:customStyle="1" w:styleId="Heading3Char">
    <w:name w:val="Heading 3 Char"/>
    <w:basedOn w:val="DefaultParagraphFont"/>
    <w:link w:val="Heading3"/>
    <w:uiPriority w:val="4"/>
    <w:rsid w:val="007A46E1"/>
    <w:rPr>
      <w:rFonts w:ascii="Lucida Sans" w:hAnsi="Lucida Sans"/>
      <w:b/>
    </w:rPr>
  </w:style>
  <w:style w:type="character" w:customStyle="1" w:styleId="Heading4Char">
    <w:name w:val="Heading 4 Char"/>
    <w:basedOn w:val="DefaultParagraphFont"/>
    <w:link w:val="Heading4"/>
    <w:uiPriority w:val="5"/>
    <w:rsid w:val="007A46E1"/>
    <w:rPr>
      <w:rFonts w:asciiTheme="majorHAnsi" w:eastAsiaTheme="majorEastAsia" w:hAnsiTheme="majorHAnsi" w:cstheme="majorBidi"/>
      <w:i/>
      <w:iCs/>
      <w:color w:val="000000" w:themeColor="text1"/>
    </w:rPr>
  </w:style>
  <w:style w:type="paragraph" w:customStyle="1" w:styleId="FooterPG1">
    <w:name w:val="Footer PG1"/>
    <w:basedOn w:val="Normal"/>
    <w:link w:val="FooterPG1Char"/>
    <w:rsid w:val="00E60569"/>
    <w:pPr>
      <w:spacing w:after="0" w:line="240" w:lineRule="auto"/>
      <w:jc w:val="center"/>
    </w:pPr>
    <w:rPr>
      <w:rFonts w:ascii="Lucida Sans" w:hAnsi="Lucida Sans"/>
      <w:spacing w:val="20"/>
      <w:sz w:val="24"/>
      <w:szCs w:val="24"/>
    </w:rPr>
  </w:style>
  <w:style w:type="character" w:customStyle="1" w:styleId="FooterPG1Char">
    <w:name w:val="Footer PG1 Char"/>
    <w:basedOn w:val="DefaultParagraphFont"/>
    <w:link w:val="FooterPG1"/>
    <w:rsid w:val="00E60569"/>
    <w:rPr>
      <w:rFonts w:ascii="Lucida Sans" w:hAnsi="Lucida Sans"/>
      <w:spacing w:val="20"/>
      <w:sz w:val="24"/>
      <w:szCs w:val="24"/>
    </w:rPr>
  </w:style>
  <w:style w:type="table" w:styleId="TableGrid">
    <w:name w:val="Table Grid"/>
    <w:basedOn w:val="TableNormal"/>
    <w:uiPriority w:val="39"/>
    <w:rsid w:val="009E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9E1D07"/>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customStyle="1" w:styleId="WECCTable">
    <w:name w:val="WECC Table"/>
    <w:basedOn w:val="ListTable3-Accent1"/>
    <w:uiPriority w:val="99"/>
    <w:rsid w:val="008446F5"/>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val="0"/>
        <w:bCs/>
      </w:rPr>
      <w:tblPr/>
      <w:tcPr>
        <w:tcBorders>
          <w:top w:val="double" w:sz="4" w:space="0" w:color="00395D"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paragraph" w:styleId="ListBullet">
    <w:name w:val="List Bullet"/>
    <w:basedOn w:val="Normal"/>
    <w:uiPriority w:val="6"/>
    <w:qFormat/>
    <w:rsid w:val="002E1330"/>
    <w:pPr>
      <w:numPr>
        <w:numId w:val="8"/>
      </w:numPr>
      <w:contextualSpacing/>
    </w:pPr>
  </w:style>
  <w:style w:type="paragraph" w:styleId="FootnoteText">
    <w:name w:val="footnote text"/>
    <w:basedOn w:val="Normal"/>
    <w:link w:val="FootnoteTextChar"/>
    <w:uiPriority w:val="99"/>
    <w:qFormat/>
    <w:rsid w:val="008E2D28"/>
    <w:pPr>
      <w:spacing w:line="240" w:lineRule="auto"/>
    </w:pPr>
    <w:rPr>
      <w:sz w:val="20"/>
      <w:szCs w:val="20"/>
    </w:rPr>
  </w:style>
  <w:style w:type="character" w:customStyle="1" w:styleId="FootnoteTextChar">
    <w:name w:val="Footnote Text Char"/>
    <w:basedOn w:val="DefaultParagraphFont"/>
    <w:link w:val="FootnoteText"/>
    <w:uiPriority w:val="99"/>
    <w:rsid w:val="008E2D28"/>
    <w:rPr>
      <w:rFonts w:ascii="Palatino Linotype" w:hAnsi="Palatino Linotype"/>
      <w:sz w:val="20"/>
      <w:szCs w:val="20"/>
    </w:rPr>
  </w:style>
  <w:style w:type="character" w:styleId="FootnoteReference">
    <w:name w:val="footnote reference"/>
    <w:basedOn w:val="DefaultParagraphFont"/>
    <w:uiPriority w:val="99"/>
    <w:unhideWhenUsed/>
    <w:rsid w:val="0053685B"/>
    <w:rPr>
      <w:vertAlign w:val="superscript"/>
    </w:rPr>
  </w:style>
  <w:style w:type="character" w:styleId="UnresolvedMention">
    <w:name w:val="Unresolved Mention"/>
    <w:basedOn w:val="DefaultParagraphFont"/>
    <w:uiPriority w:val="99"/>
    <w:semiHidden/>
    <w:unhideWhenUsed/>
    <w:rsid w:val="00C22CF7"/>
    <w:rPr>
      <w:color w:val="808080"/>
      <w:shd w:val="clear" w:color="auto" w:fill="E6E6E6"/>
    </w:rPr>
  </w:style>
  <w:style w:type="paragraph" w:styleId="Revision">
    <w:name w:val="Revision"/>
    <w:hidden/>
    <w:uiPriority w:val="99"/>
    <w:semiHidden/>
    <w:rsid w:val="0062691A"/>
    <w:pPr>
      <w:spacing w:after="0" w:line="240" w:lineRule="auto"/>
    </w:pPr>
    <w:rPr>
      <w:rFonts w:ascii="Palatino Linotype" w:hAnsi="Palatino Linotype"/>
    </w:rPr>
  </w:style>
  <w:style w:type="paragraph" w:customStyle="1" w:styleId="Normal2">
    <w:name w:val="Normal 2"/>
    <w:basedOn w:val="Normal"/>
    <w:link w:val="Normal2Char"/>
    <w:qFormat/>
    <w:rsid w:val="00FF343F"/>
    <w:pPr>
      <w:spacing w:before="120"/>
      <w:ind w:left="720"/>
    </w:pPr>
  </w:style>
  <w:style w:type="character" w:customStyle="1" w:styleId="Normal2Char">
    <w:name w:val="Normal 2 Char"/>
    <w:basedOn w:val="DefaultParagraphFont"/>
    <w:link w:val="Normal2"/>
    <w:rsid w:val="00FF343F"/>
    <w:rPr>
      <w:rFonts w:ascii="Palatino Linotype" w:hAnsi="Palatino Linotype"/>
    </w:rPr>
  </w:style>
  <w:style w:type="table" w:customStyle="1" w:styleId="WECCTable1">
    <w:name w:val="WECC Table1"/>
    <w:basedOn w:val="ListTable3-Accent1"/>
    <w:uiPriority w:val="99"/>
    <w:rsid w:val="005B679F"/>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val="0"/>
        <w:bCs/>
      </w:rPr>
      <w:tblPr/>
      <w:tcPr>
        <w:tcBorders>
          <w:top w:val="double" w:sz="4" w:space="0" w:color="00395D"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character" w:customStyle="1" w:styleId="BoxText">
    <w:name w:val="Box Text"/>
    <w:uiPriority w:val="99"/>
    <w:rsid w:val="00DD448C"/>
    <w:rPr>
      <w:color w:val="3D58A7"/>
      <w:szCs w:val="24"/>
    </w:rPr>
  </w:style>
  <w:style w:type="paragraph" w:customStyle="1" w:styleId="MeetingsLeader">
    <w:name w:val="Meetings Leader"/>
    <w:basedOn w:val="Normal"/>
    <w:link w:val="MeetingsLeaderChar"/>
    <w:uiPriority w:val="6"/>
    <w:qFormat/>
    <w:rsid w:val="00EA0066"/>
    <w:pPr>
      <w:tabs>
        <w:tab w:val="left" w:leader="dot" w:pos="7200"/>
      </w:tabs>
      <w:spacing w:before="120"/>
      <w:ind w:left="720"/>
    </w:pPr>
  </w:style>
  <w:style w:type="character" w:customStyle="1" w:styleId="MeetingsLeaderChar">
    <w:name w:val="Meetings Leader Char"/>
    <w:basedOn w:val="DefaultParagraphFont"/>
    <w:link w:val="MeetingsLeader"/>
    <w:uiPriority w:val="6"/>
    <w:rsid w:val="00EA0066"/>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5780">
      <w:bodyDiv w:val="1"/>
      <w:marLeft w:val="0"/>
      <w:marRight w:val="0"/>
      <w:marTop w:val="0"/>
      <w:marBottom w:val="0"/>
      <w:divBdr>
        <w:top w:val="none" w:sz="0" w:space="0" w:color="auto"/>
        <w:left w:val="none" w:sz="0" w:space="0" w:color="auto"/>
        <w:bottom w:val="none" w:sz="0" w:space="0" w:color="auto"/>
        <w:right w:val="none" w:sz="0" w:space="0" w:color="auto"/>
      </w:divBdr>
    </w:div>
    <w:div w:id="52896854">
      <w:bodyDiv w:val="1"/>
      <w:marLeft w:val="0"/>
      <w:marRight w:val="0"/>
      <w:marTop w:val="0"/>
      <w:marBottom w:val="0"/>
      <w:divBdr>
        <w:top w:val="none" w:sz="0" w:space="0" w:color="auto"/>
        <w:left w:val="none" w:sz="0" w:space="0" w:color="auto"/>
        <w:bottom w:val="none" w:sz="0" w:space="0" w:color="auto"/>
        <w:right w:val="none" w:sz="0" w:space="0" w:color="auto"/>
      </w:divBdr>
    </w:div>
    <w:div w:id="92018204">
      <w:bodyDiv w:val="1"/>
      <w:marLeft w:val="0"/>
      <w:marRight w:val="0"/>
      <w:marTop w:val="0"/>
      <w:marBottom w:val="0"/>
      <w:divBdr>
        <w:top w:val="none" w:sz="0" w:space="0" w:color="auto"/>
        <w:left w:val="none" w:sz="0" w:space="0" w:color="auto"/>
        <w:bottom w:val="none" w:sz="0" w:space="0" w:color="auto"/>
        <w:right w:val="none" w:sz="0" w:space="0" w:color="auto"/>
      </w:divBdr>
    </w:div>
    <w:div w:id="124935687">
      <w:bodyDiv w:val="1"/>
      <w:marLeft w:val="0"/>
      <w:marRight w:val="0"/>
      <w:marTop w:val="0"/>
      <w:marBottom w:val="0"/>
      <w:divBdr>
        <w:top w:val="none" w:sz="0" w:space="0" w:color="auto"/>
        <w:left w:val="none" w:sz="0" w:space="0" w:color="auto"/>
        <w:bottom w:val="none" w:sz="0" w:space="0" w:color="auto"/>
        <w:right w:val="none" w:sz="0" w:space="0" w:color="auto"/>
      </w:divBdr>
      <w:divsChild>
        <w:div w:id="542443005">
          <w:marLeft w:val="0"/>
          <w:marRight w:val="0"/>
          <w:marTop w:val="0"/>
          <w:marBottom w:val="0"/>
          <w:divBdr>
            <w:top w:val="none" w:sz="0" w:space="0" w:color="auto"/>
            <w:left w:val="none" w:sz="0" w:space="0" w:color="auto"/>
            <w:bottom w:val="none" w:sz="0" w:space="0" w:color="auto"/>
            <w:right w:val="none" w:sz="0" w:space="0" w:color="auto"/>
          </w:divBdr>
          <w:divsChild>
            <w:div w:id="836647964">
              <w:marLeft w:val="0"/>
              <w:marRight w:val="0"/>
              <w:marTop w:val="100"/>
              <w:marBottom w:val="300"/>
              <w:divBdr>
                <w:top w:val="none" w:sz="0" w:space="0" w:color="auto"/>
                <w:left w:val="none" w:sz="0" w:space="0" w:color="auto"/>
                <w:bottom w:val="none" w:sz="0" w:space="0" w:color="auto"/>
                <w:right w:val="none" w:sz="0" w:space="0" w:color="auto"/>
              </w:divBdr>
              <w:divsChild>
                <w:div w:id="1881084427">
                  <w:marLeft w:val="0"/>
                  <w:marRight w:val="0"/>
                  <w:marTop w:val="0"/>
                  <w:marBottom w:val="0"/>
                  <w:divBdr>
                    <w:top w:val="none" w:sz="0" w:space="0" w:color="auto"/>
                    <w:left w:val="none" w:sz="0" w:space="0" w:color="auto"/>
                    <w:bottom w:val="none" w:sz="0" w:space="0" w:color="auto"/>
                    <w:right w:val="none" w:sz="0" w:space="0" w:color="auto"/>
                  </w:divBdr>
                  <w:divsChild>
                    <w:div w:id="577246749">
                      <w:marLeft w:val="0"/>
                      <w:marRight w:val="0"/>
                      <w:marTop w:val="0"/>
                      <w:marBottom w:val="0"/>
                      <w:divBdr>
                        <w:top w:val="none" w:sz="0" w:space="0" w:color="auto"/>
                        <w:left w:val="none" w:sz="0" w:space="0" w:color="auto"/>
                        <w:bottom w:val="none" w:sz="0" w:space="0" w:color="auto"/>
                        <w:right w:val="none" w:sz="0" w:space="0" w:color="auto"/>
                      </w:divBdr>
                      <w:divsChild>
                        <w:div w:id="362092894">
                          <w:marLeft w:val="0"/>
                          <w:marRight w:val="0"/>
                          <w:marTop w:val="0"/>
                          <w:marBottom w:val="0"/>
                          <w:divBdr>
                            <w:top w:val="none" w:sz="0" w:space="0" w:color="auto"/>
                            <w:left w:val="none" w:sz="0" w:space="0" w:color="auto"/>
                            <w:bottom w:val="none" w:sz="0" w:space="0" w:color="auto"/>
                            <w:right w:val="none" w:sz="0" w:space="0" w:color="auto"/>
                          </w:divBdr>
                          <w:divsChild>
                            <w:div w:id="1109425415">
                              <w:marLeft w:val="0"/>
                              <w:marRight w:val="0"/>
                              <w:marTop w:val="0"/>
                              <w:marBottom w:val="0"/>
                              <w:divBdr>
                                <w:top w:val="none" w:sz="0" w:space="0" w:color="auto"/>
                                <w:left w:val="none" w:sz="0" w:space="0" w:color="auto"/>
                                <w:bottom w:val="none" w:sz="0" w:space="0" w:color="auto"/>
                                <w:right w:val="none" w:sz="0" w:space="0" w:color="auto"/>
                              </w:divBdr>
                              <w:divsChild>
                                <w:div w:id="1724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10157">
      <w:bodyDiv w:val="1"/>
      <w:marLeft w:val="0"/>
      <w:marRight w:val="0"/>
      <w:marTop w:val="0"/>
      <w:marBottom w:val="0"/>
      <w:divBdr>
        <w:top w:val="none" w:sz="0" w:space="0" w:color="auto"/>
        <w:left w:val="none" w:sz="0" w:space="0" w:color="auto"/>
        <w:bottom w:val="none" w:sz="0" w:space="0" w:color="auto"/>
        <w:right w:val="none" w:sz="0" w:space="0" w:color="auto"/>
      </w:divBdr>
    </w:div>
    <w:div w:id="214123883">
      <w:bodyDiv w:val="1"/>
      <w:marLeft w:val="0"/>
      <w:marRight w:val="0"/>
      <w:marTop w:val="0"/>
      <w:marBottom w:val="0"/>
      <w:divBdr>
        <w:top w:val="none" w:sz="0" w:space="0" w:color="auto"/>
        <w:left w:val="none" w:sz="0" w:space="0" w:color="auto"/>
        <w:bottom w:val="none" w:sz="0" w:space="0" w:color="auto"/>
        <w:right w:val="none" w:sz="0" w:space="0" w:color="auto"/>
      </w:divBdr>
    </w:div>
    <w:div w:id="270406203">
      <w:bodyDiv w:val="1"/>
      <w:marLeft w:val="0"/>
      <w:marRight w:val="0"/>
      <w:marTop w:val="0"/>
      <w:marBottom w:val="0"/>
      <w:divBdr>
        <w:top w:val="none" w:sz="0" w:space="0" w:color="auto"/>
        <w:left w:val="none" w:sz="0" w:space="0" w:color="auto"/>
        <w:bottom w:val="none" w:sz="0" w:space="0" w:color="auto"/>
        <w:right w:val="none" w:sz="0" w:space="0" w:color="auto"/>
      </w:divBdr>
    </w:div>
    <w:div w:id="351151105">
      <w:bodyDiv w:val="1"/>
      <w:marLeft w:val="0"/>
      <w:marRight w:val="0"/>
      <w:marTop w:val="0"/>
      <w:marBottom w:val="0"/>
      <w:divBdr>
        <w:top w:val="none" w:sz="0" w:space="0" w:color="auto"/>
        <w:left w:val="none" w:sz="0" w:space="0" w:color="auto"/>
        <w:bottom w:val="none" w:sz="0" w:space="0" w:color="auto"/>
        <w:right w:val="none" w:sz="0" w:space="0" w:color="auto"/>
      </w:divBdr>
    </w:div>
    <w:div w:id="737702303">
      <w:bodyDiv w:val="1"/>
      <w:marLeft w:val="0"/>
      <w:marRight w:val="0"/>
      <w:marTop w:val="0"/>
      <w:marBottom w:val="0"/>
      <w:divBdr>
        <w:top w:val="none" w:sz="0" w:space="0" w:color="auto"/>
        <w:left w:val="none" w:sz="0" w:space="0" w:color="auto"/>
        <w:bottom w:val="none" w:sz="0" w:space="0" w:color="auto"/>
        <w:right w:val="none" w:sz="0" w:space="0" w:color="auto"/>
      </w:divBdr>
    </w:div>
    <w:div w:id="771782873">
      <w:bodyDiv w:val="1"/>
      <w:marLeft w:val="0"/>
      <w:marRight w:val="0"/>
      <w:marTop w:val="0"/>
      <w:marBottom w:val="0"/>
      <w:divBdr>
        <w:top w:val="none" w:sz="0" w:space="0" w:color="auto"/>
        <w:left w:val="none" w:sz="0" w:space="0" w:color="auto"/>
        <w:bottom w:val="none" w:sz="0" w:space="0" w:color="auto"/>
        <w:right w:val="none" w:sz="0" w:space="0" w:color="auto"/>
      </w:divBdr>
    </w:div>
    <w:div w:id="827475554">
      <w:bodyDiv w:val="1"/>
      <w:marLeft w:val="0"/>
      <w:marRight w:val="0"/>
      <w:marTop w:val="0"/>
      <w:marBottom w:val="0"/>
      <w:divBdr>
        <w:top w:val="none" w:sz="0" w:space="0" w:color="auto"/>
        <w:left w:val="none" w:sz="0" w:space="0" w:color="auto"/>
        <w:bottom w:val="none" w:sz="0" w:space="0" w:color="auto"/>
        <w:right w:val="none" w:sz="0" w:space="0" w:color="auto"/>
      </w:divBdr>
    </w:div>
    <w:div w:id="1152136203">
      <w:bodyDiv w:val="1"/>
      <w:marLeft w:val="0"/>
      <w:marRight w:val="0"/>
      <w:marTop w:val="0"/>
      <w:marBottom w:val="0"/>
      <w:divBdr>
        <w:top w:val="none" w:sz="0" w:space="0" w:color="auto"/>
        <w:left w:val="none" w:sz="0" w:space="0" w:color="auto"/>
        <w:bottom w:val="none" w:sz="0" w:space="0" w:color="auto"/>
        <w:right w:val="none" w:sz="0" w:space="0" w:color="auto"/>
      </w:divBdr>
    </w:div>
    <w:div w:id="1307661067">
      <w:bodyDiv w:val="1"/>
      <w:marLeft w:val="0"/>
      <w:marRight w:val="0"/>
      <w:marTop w:val="0"/>
      <w:marBottom w:val="0"/>
      <w:divBdr>
        <w:top w:val="none" w:sz="0" w:space="0" w:color="auto"/>
        <w:left w:val="none" w:sz="0" w:space="0" w:color="auto"/>
        <w:bottom w:val="none" w:sz="0" w:space="0" w:color="auto"/>
        <w:right w:val="none" w:sz="0" w:space="0" w:color="auto"/>
      </w:divBdr>
    </w:div>
    <w:div w:id="1351295771">
      <w:bodyDiv w:val="1"/>
      <w:marLeft w:val="0"/>
      <w:marRight w:val="0"/>
      <w:marTop w:val="0"/>
      <w:marBottom w:val="0"/>
      <w:divBdr>
        <w:top w:val="none" w:sz="0" w:space="0" w:color="auto"/>
        <w:left w:val="none" w:sz="0" w:space="0" w:color="auto"/>
        <w:bottom w:val="none" w:sz="0" w:space="0" w:color="auto"/>
        <w:right w:val="none" w:sz="0" w:space="0" w:color="auto"/>
      </w:divBdr>
      <w:divsChild>
        <w:div w:id="1028794189">
          <w:marLeft w:val="0"/>
          <w:marRight w:val="0"/>
          <w:marTop w:val="0"/>
          <w:marBottom w:val="0"/>
          <w:divBdr>
            <w:top w:val="none" w:sz="0" w:space="0" w:color="auto"/>
            <w:left w:val="none" w:sz="0" w:space="0" w:color="auto"/>
            <w:bottom w:val="none" w:sz="0" w:space="0" w:color="auto"/>
            <w:right w:val="none" w:sz="0" w:space="0" w:color="auto"/>
          </w:divBdr>
          <w:divsChild>
            <w:div w:id="1933319181">
              <w:marLeft w:val="0"/>
              <w:marRight w:val="0"/>
              <w:marTop w:val="0"/>
              <w:marBottom w:val="0"/>
              <w:divBdr>
                <w:top w:val="none" w:sz="0" w:space="0" w:color="auto"/>
                <w:left w:val="none" w:sz="0" w:space="0" w:color="auto"/>
                <w:bottom w:val="none" w:sz="0" w:space="0" w:color="auto"/>
                <w:right w:val="none" w:sz="0" w:space="0" w:color="auto"/>
              </w:divBdr>
              <w:divsChild>
                <w:div w:id="1469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81974">
      <w:bodyDiv w:val="1"/>
      <w:marLeft w:val="0"/>
      <w:marRight w:val="0"/>
      <w:marTop w:val="0"/>
      <w:marBottom w:val="0"/>
      <w:divBdr>
        <w:top w:val="none" w:sz="0" w:space="0" w:color="auto"/>
        <w:left w:val="none" w:sz="0" w:space="0" w:color="auto"/>
        <w:bottom w:val="none" w:sz="0" w:space="0" w:color="auto"/>
        <w:right w:val="none" w:sz="0" w:space="0" w:color="auto"/>
      </w:divBdr>
    </w:div>
    <w:div w:id="1435905501">
      <w:bodyDiv w:val="1"/>
      <w:marLeft w:val="0"/>
      <w:marRight w:val="0"/>
      <w:marTop w:val="0"/>
      <w:marBottom w:val="0"/>
      <w:divBdr>
        <w:top w:val="none" w:sz="0" w:space="0" w:color="auto"/>
        <w:left w:val="none" w:sz="0" w:space="0" w:color="auto"/>
        <w:bottom w:val="none" w:sz="0" w:space="0" w:color="auto"/>
        <w:right w:val="none" w:sz="0" w:space="0" w:color="auto"/>
      </w:divBdr>
    </w:div>
    <w:div w:id="1491485364">
      <w:bodyDiv w:val="1"/>
      <w:marLeft w:val="0"/>
      <w:marRight w:val="0"/>
      <w:marTop w:val="0"/>
      <w:marBottom w:val="0"/>
      <w:divBdr>
        <w:top w:val="none" w:sz="0" w:space="0" w:color="auto"/>
        <w:left w:val="none" w:sz="0" w:space="0" w:color="auto"/>
        <w:bottom w:val="none" w:sz="0" w:space="0" w:color="auto"/>
        <w:right w:val="none" w:sz="0" w:space="0" w:color="auto"/>
      </w:divBdr>
    </w:div>
    <w:div w:id="1496646347">
      <w:bodyDiv w:val="1"/>
      <w:marLeft w:val="0"/>
      <w:marRight w:val="0"/>
      <w:marTop w:val="0"/>
      <w:marBottom w:val="0"/>
      <w:divBdr>
        <w:top w:val="none" w:sz="0" w:space="0" w:color="auto"/>
        <w:left w:val="none" w:sz="0" w:space="0" w:color="auto"/>
        <w:bottom w:val="none" w:sz="0" w:space="0" w:color="auto"/>
        <w:right w:val="none" w:sz="0" w:space="0" w:color="auto"/>
      </w:divBdr>
    </w:div>
    <w:div w:id="1632978470">
      <w:bodyDiv w:val="1"/>
      <w:marLeft w:val="0"/>
      <w:marRight w:val="0"/>
      <w:marTop w:val="0"/>
      <w:marBottom w:val="0"/>
      <w:divBdr>
        <w:top w:val="none" w:sz="0" w:space="0" w:color="auto"/>
        <w:left w:val="none" w:sz="0" w:space="0" w:color="auto"/>
        <w:bottom w:val="none" w:sz="0" w:space="0" w:color="auto"/>
        <w:right w:val="none" w:sz="0" w:space="0" w:color="auto"/>
      </w:divBdr>
    </w:div>
    <w:div w:id="1662847165">
      <w:bodyDiv w:val="1"/>
      <w:marLeft w:val="0"/>
      <w:marRight w:val="0"/>
      <w:marTop w:val="0"/>
      <w:marBottom w:val="0"/>
      <w:divBdr>
        <w:top w:val="none" w:sz="0" w:space="0" w:color="auto"/>
        <w:left w:val="none" w:sz="0" w:space="0" w:color="auto"/>
        <w:bottom w:val="none" w:sz="0" w:space="0" w:color="auto"/>
        <w:right w:val="none" w:sz="0" w:space="0" w:color="auto"/>
      </w:divBdr>
    </w:div>
    <w:div w:id="1823082766">
      <w:bodyDiv w:val="1"/>
      <w:marLeft w:val="0"/>
      <w:marRight w:val="0"/>
      <w:marTop w:val="0"/>
      <w:marBottom w:val="0"/>
      <w:divBdr>
        <w:top w:val="none" w:sz="0" w:space="0" w:color="auto"/>
        <w:left w:val="none" w:sz="0" w:space="0" w:color="auto"/>
        <w:bottom w:val="none" w:sz="0" w:space="0" w:color="auto"/>
        <w:right w:val="none" w:sz="0" w:space="0" w:color="auto"/>
      </w:divBdr>
      <w:divsChild>
        <w:div w:id="1442147312">
          <w:marLeft w:val="0"/>
          <w:marRight w:val="0"/>
          <w:marTop w:val="0"/>
          <w:marBottom w:val="0"/>
          <w:divBdr>
            <w:top w:val="none" w:sz="0" w:space="0" w:color="auto"/>
            <w:left w:val="none" w:sz="0" w:space="0" w:color="auto"/>
            <w:bottom w:val="none" w:sz="0" w:space="0" w:color="auto"/>
            <w:right w:val="none" w:sz="0" w:space="0" w:color="auto"/>
          </w:divBdr>
          <w:divsChild>
            <w:div w:id="435640205">
              <w:marLeft w:val="0"/>
              <w:marRight w:val="0"/>
              <w:marTop w:val="100"/>
              <w:marBottom w:val="300"/>
              <w:divBdr>
                <w:top w:val="none" w:sz="0" w:space="0" w:color="auto"/>
                <w:left w:val="none" w:sz="0" w:space="0" w:color="auto"/>
                <w:bottom w:val="none" w:sz="0" w:space="0" w:color="auto"/>
                <w:right w:val="none" w:sz="0" w:space="0" w:color="auto"/>
              </w:divBdr>
              <w:divsChild>
                <w:div w:id="424155355">
                  <w:marLeft w:val="0"/>
                  <w:marRight w:val="0"/>
                  <w:marTop w:val="0"/>
                  <w:marBottom w:val="0"/>
                  <w:divBdr>
                    <w:top w:val="none" w:sz="0" w:space="0" w:color="auto"/>
                    <w:left w:val="none" w:sz="0" w:space="0" w:color="auto"/>
                    <w:bottom w:val="none" w:sz="0" w:space="0" w:color="auto"/>
                    <w:right w:val="none" w:sz="0" w:space="0" w:color="auto"/>
                  </w:divBdr>
                  <w:divsChild>
                    <w:div w:id="1864006689">
                      <w:marLeft w:val="0"/>
                      <w:marRight w:val="0"/>
                      <w:marTop w:val="0"/>
                      <w:marBottom w:val="0"/>
                      <w:divBdr>
                        <w:top w:val="none" w:sz="0" w:space="0" w:color="auto"/>
                        <w:left w:val="none" w:sz="0" w:space="0" w:color="auto"/>
                        <w:bottom w:val="none" w:sz="0" w:space="0" w:color="auto"/>
                        <w:right w:val="none" w:sz="0" w:space="0" w:color="auto"/>
                      </w:divBdr>
                      <w:divsChild>
                        <w:div w:id="2126579771">
                          <w:marLeft w:val="0"/>
                          <w:marRight w:val="0"/>
                          <w:marTop w:val="0"/>
                          <w:marBottom w:val="0"/>
                          <w:divBdr>
                            <w:top w:val="none" w:sz="0" w:space="0" w:color="auto"/>
                            <w:left w:val="none" w:sz="0" w:space="0" w:color="auto"/>
                            <w:bottom w:val="none" w:sz="0" w:space="0" w:color="auto"/>
                            <w:right w:val="none" w:sz="0" w:space="0" w:color="auto"/>
                          </w:divBdr>
                          <w:divsChild>
                            <w:div w:id="400567219">
                              <w:marLeft w:val="0"/>
                              <w:marRight w:val="0"/>
                              <w:marTop w:val="0"/>
                              <w:marBottom w:val="0"/>
                              <w:divBdr>
                                <w:top w:val="none" w:sz="0" w:space="0" w:color="auto"/>
                                <w:left w:val="none" w:sz="0" w:space="0" w:color="auto"/>
                                <w:bottom w:val="none" w:sz="0" w:space="0" w:color="auto"/>
                                <w:right w:val="none" w:sz="0" w:space="0" w:color="auto"/>
                              </w:divBdr>
                              <w:divsChild>
                                <w:div w:id="18302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419680">
      <w:bodyDiv w:val="1"/>
      <w:marLeft w:val="0"/>
      <w:marRight w:val="0"/>
      <w:marTop w:val="0"/>
      <w:marBottom w:val="0"/>
      <w:divBdr>
        <w:top w:val="none" w:sz="0" w:space="0" w:color="auto"/>
        <w:left w:val="none" w:sz="0" w:space="0" w:color="auto"/>
        <w:bottom w:val="none" w:sz="0" w:space="0" w:color="auto"/>
        <w:right w:val="none" w:sz="0" w:space="0" w:color="auto"/>
      </w:divBdr>
    </w:div>
    <w:div w:id="1953777988">
      <w:bodyDiv w:val="1"/>
      <w:marLeft w:val="0"/>
      <w:marRight w:val="0"/>
      <w:marTop w:val="0"/>
      <w:marBottom w:val="0"/>
      <w:divBdr>
        <w:top w:val="none" w:sz="0" w:space="0" w:color="auto"/>
        <w:left w:val="none" w:sz="0" w:space="0" w:color="auto"/>
        <w:bottom w:val="none" w:sz="0" w:space="0" w:color="auto"/>
        <w:right w:val="none" w:sz="0" w:space="0" w:color="auto"/>
      </w:divBdr>
    </w:div>
    <w:div w:id="2037776895">
      <w:bodyDiv w:val="1"/>
      <w:marLeft w:val="0"/>
      <w:marRight w:val="0"/>
      <w:marTop w:val="0"/>
      <w:marBottom w:val="0"/>
      <w:divBdr>
        <w:top w:val="none" w:sz="0" w:space="0" w:color="auto"/>
        <w:left w:val="none" w:sz="0" w:space="0" w:color="auto"/>
        <w:bottom w:val="none" w:sz="0" w:space="0" w:color="auto"/>
        <w:right w:val="none" w:sz="0" w:space="0" w:color="auto"/>
      </w:divBdr>
    </w:div>
    <w:div w:id="20708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lack@wecc.or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asicDocument.dotx" TargetMode="External"/></Relationships>
</file>

<file path=word/theme/theme1.xml><?xml version="1.0" encoding="utf-8"?>
<a:theme xmlns:a="http://schemas.openxmlformats.org/drawingml/2006/main" name="WECC Word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WECC Fonts">
      <a:majorFont>
        <a:latin typeface="Lucida Sans"/>
        <a:ea typeface=""/>
        <a:cs typeface=""/>
      </a:majorFont>
      <a:minorFont>
        <a:latin typeface="Palatino Linotyp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Other Reliability Documents" ma:contentTypeID="0x010100E45EF0F8AAA65E428351BA36F1B645BE1200CA280BBE04EF434C8DECBE67FD58A074" ma:contentTypeVersion="10" ma:contentTypeDescription="" ma:contentTypeScope="" ma:versionID="c2434c7e036fbdb00d76290cd9c6396c">
  <xsd:schema xmlns:xsd="http://www.w3.org/2001/XMLSchema" xmlns:xs="http://www.w3.org/2001/XMLSchema" xmlns:p="http://schemas.microsoft.com/office/2006/metadata/properties" xmlns:ns2="2fb8a92a-9032-49d6-b983-191f0a73b01f" xmlns:ns3="4bd63098-0c83-43cf-abdd-085f2cc55a51" targetNamespace="http://schemas.microsoft.com/office/2006/metadata/properties" ma:root="true" ma:fieldsID="7f3a7fd941f69af4be576b57cbcc2582" ns2:_="" ns3:_="">
    <xsd:import namespace="2fb8a92a-9032-49d6-b983-191f0a73b01f"/>
    <xsd:import namespace="4bd63098-0c83-43cf-abdd-085f2cc55a51"/>
    <xsd:element name="properties">
      <xsd:complexType>
        <xsd:sequence>
          <xsd:element name="documentManagement">
            <xsd:complexType>
              <xsd:all>
                <xsd:element ref="ns2:Document_x0020_Categorization_x0020_Policy"/>
                <xsd:element ref="ns2:Owner_x0020_Group" minOccurs="0"/>
                <xsd:element ref="ns2:Committee" minOccurs="0"/>
                <xsd:element ref="ns2:WECC_x0020_Status" minOccurs="0"/>
                <xsd:element ref="ns2:Privacy"/>
                <xsd:element ref="ns2:Adopted_x002f_Approved_x0020_By" minOccurs="0"/>
                <xsd:element ref="ns2:Other_x0020_Reliability_x0020_Documents" minOccurs="0"/>
                <xsd:element ref="ns2:Jurisdiction" minOccurs="0"/>
                <xsd:element ref="ns2:Standard_x0020_Family" minOccurs="0"/>
                <xsd:element ref="ns3:TaxKeywordTaxHTField" minOccurs="0"/>
                <xsd:element ref="ns3:TaxCatchAll" minOccurs="0"/>
                <xsd:element ref="ns3:_dlc_DocId" minOccurs="0"/>
                <xsd:element ref="ns3:_dlc_DocIdUrl" minOccurs="0"/>
                <xsd:element ref="ns3:_dlc_DocIdPersistId" minOccurs="0"/>
                <xsd:element ref="ns3:Event_x0020_ID" minOccurs="0"/>
                <xsd:element ref="ns3:Approv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a92a-9032-49d6-b983-191f0a73b01f" elementFormDefault="qualified">
    <xsd:import namespace="http://schemas.microsoft.com/office/2006/documentManagement/types"/>
    <xsd:import namespace="http://schemas.microsoft.com/office/infopath/2007/PartnerControls"/>
    <xsd:element name="Document_x0020_Categorization_x0020_Policy" ma:index="8" ma:displayName="WECC Categorization Policy" ma:default="N/A" ma:format="Dropdown" ma:internalName="Document_x0020_Categorization_x0020_Policy">
      <xsd:simpleType>
        <xsd:restriction base="dms:Choice">
          <xsd:enumeration value="N/A"/>
          <xsd:enumeration value="Charter"/>
          <xsd:enumeration value="Guideline"/>
          <xsd:enumeration value="Policy"/>
          <xsd:enumeration value="Regional Criteria"/>
          <xsd:enumeration value="Regional Reliability Standard"/>
          <xsd:enumeration value="Report or Other"/>
        </xsd:restriction>
      </xsd:simpleType>
    </xsd:element>
    <xsd:element name="Owner_x0020_Group" ma:index="9" nillable="true" ma:displayName="Owner Group" ma:internalName="Owner_x0020_Group" ma:requiredMultiChoice="true">
      <xsd:complexType>
        <xsd:complexContent>
          <xsd:extension base="dms:MultiChoice">
            <xsd:sequence>
              <xsd:element name="Value" maxOccurs="unbounded" minOccurs="0" nillable="true">
                <xsd:simpleType>
                  <xsd:restriction base="dms:Choice">
                    <xsd:enumeration value="Compliance"/>
                    <xsd:enumeration value="Compliance Open Webinars"/>
                    <xsd:enumeration value="Compliance Workshop"/>
                    <xsd:enumeration value="Event Analysis &amp; Situational Awareness"/>
                    <xsd:enumeration value="General &amp; Administrative"/>
                    <xsd:enumeration value="Human Resources"/>
                    <xsd:enumeration value="Information Technology"/>
                    <xsd:enumeration value="Legal &amp; Regulatory"/>
                    <xsd:enumeration value="Operations Performance Analysis"/>
                    <xsd:enumeration value="Performance Analysis"/>
                    <xsd:enumeration value="Planning Services"/>
                    <xsd:enumeration value="Registration and Certification"/>
                    <xsd:enumeration value="Reliability Assessment"/>
                    <xsd:enumeration value="Reliability Standards"/>
                    <xsd:enumeration value="Resource Adequacy"/>
                    <xsd:enumeration value="System Adequacy Planning"/>
                    <xsd:enumeration value="System Stability Planning"/>
                    <xsd:enumeration value="Training &amp; Education"/>
                    <xsd:enumeration value="Transmission Expansion Planning"/>
                    <xsd:enumeration value="WREGIS"/>
                  </xsd:restriction>
                </xsd:simpleType>
              </xsd:element>
            </xsd:sequence>
          </xsd:extension>
        </xsd:complexContent>
      </xsd:complexType>
    </xsd:element>
    <xsd:element name="Committee" ma:index="10" nillable="true" ma:displayName="Committee" ma:internalName="Committee">
      <xsd:complexType>
        <xsd:complexContent>
          <xsd:extension base="dms:MultiChoice">
            <xsd:sequence>
              <xsd:element name="Value" maxOccurs="unbounded" minOccurs="0" nillable="true">
                <xsd:simpleType>
                  <xsd:restriction base="dms:Choice">
                    <xsd:enumeration value="APFTF"/>
                    <xsd:enumeration value="BOD"/>
                    <xsd:enumeration value="CIMTF"/>
                    <xsd:enumeration value="CSF"/>
                    <xsd:enumeration value="DEEMSF"/>
                    <xsd:enumeration value="EPAS"/>
                    <xsd:enumeration value="ESF"/>
                    <xsd:enumeration value="FAC"/>
                    <xsd:enumeration value="GC"/>
                    <xsd:enumeration value="GOPF"/>
                    <xsd:enumeration value="HPF"/>
                    <xsd:enumeration value="HRCC"/>
                    <xsd:enumeration value="ISEAS"/>
                    <xsd:enumeration value="JGC"/>
                    <xsd:enumeration value="LPTF"/>
                    <xsd:enumeration value="MAC"/>
                    <xsd:enumeration value="MBS"/>
                    <xsd:enumeration value="MVS"/>
                    <xsd:enumeration value="NC"/>
                    <xsd:enumeration value="OAWG"/>
                    <xsd:enumeration value="PCDS"/>
                    <xsd:enumeration value="PCS"/>
                    <xsd:enumeration value="PS"/>
                    <xsd:enumeration value="PSF"/>
                    <xsd:enumeration value="RAAG"/>
                    <xsd:enumeration value="RAC"/>
                    <xsd:enumeration value="RASRS"/>
                    <xsd:enumeration value="RRC"/>
                    <xsd:enumeration value="S4.9RC"/>
                    <xsd:enumeration value="SCMS"/>
                    <xsd:enumeration value="SRS"/>
                    <xsd:enumeration value="StS"/>
                    <xsd:enumeration value="TCOMS"/>
                    <xsd:enumeration value="UFLSWG"/>
                    <xsd:enumeration value="WREGIS"/>
                    <xsd:enumeration value="WREGIS-SAC"/>
                    <xsd:enumeration value="WSC"/>
                  </xsd:restriction>
                </xsd:simpleType>
              </xsd:element>
            </xsd:sequence>
          </xsd:extension>
        </xsd:complexContent>
      </xsd:complexType>
    </xsd:element>
    <xsd:element name="WECC_x0020_Status" ma:index="11" nillable="true" ma:displayName="WECC Status" ma:format="Dropdown" ma:internalName="WECC_x0020_Status" ma:readOnly="false">
      <xsd:simpleType>
        <xsd:restriction base="dms:Choice">
          <xsd:enumeration value="Draft"/>
          <xsd:enumeration value="Approval Item"/>
          <xsd:enumeration value="In Review"/>
          <xsd:enumeration value="Approved/Final"/>
          <xsd:enumeration value="Retired"/>
          <xsd:enumeration value="Replaced"/>
          <xsd:enumeration value="Redline"/>
          <xsd:enumeration value="Active"/>
          <xsd:enumeration value="Closed"/>
          <xsd:enumeration value="Hold"/>
        </xsd:restriction>
      </xsd:simpleType>
    </xsd:element>
    <xsd:element name="Privacy" ma:index="12" ma:displayName="Privacy" ma:format="Dropdown" ma:internalName="Privacy">
      <xsd:simpleType>
        <xsd:restriction base="dms:Choice">
          <xsd:enumeration value="Public"/>
          <xsd:enumeration value="Authenticated"/>
          <xsd:enumeration value="Base Cases"/>
          <xsd:enumeration value="NDA"/>
          <xsd:enumeration value="PSLF"/>
          <xsd:enumeration value="RAS OR GMD"/>
          <xsd:enumeration value="WECC Members"/>
        </xsd:restriction>
      </xsd:simpleType>
    </xsd:element>
    <xsd:element name="Adopted_x002f_Approved_x0020_By" ma:index="13" nillable="true" ma:displayName="Adopted/Approved By" ma:format="Dropdown" ma:internalName="Adopted_x002F_Approved_x0020_By" ma:readOnly="false">
      <xsd:simpleType>
        <xsd:restriction base="dms:Choice">
          <xsd:enumeration value="…"/>
          <xsd:enumeration value="ATFWG"/>
          <xsd:enumeration value="ATSMWG"/>
          <xsd:enumeration value="BOD"/>
          <xsd:enumeration value="BPSPRTF"/>
          <xsd:enumeration value="CIMTF"/>
          <xsd:enumeration value="CSWG"/>
          <xsd:enumeration value="DDMWG"/>
          <xsd:enumeration value="DEMSWG"/>
          <xsd:enumeration value="EDTF"/>
          <xsd:enumeration value="EPAS"/>
          <xsd:enumeration value="ESCTF"/>
          <xsd:enumeration value="ESMTF"/>
          <xsd:enumeration value="ESOTF"/>
          <xsd:enumeration value="ESTF"/>
          <xsd:enumeration value="FAC"/>
          <xsd:enumeration value="GC"/>
          <xsd:enumeration value="GOWG"/>
          <xsd:enumeration value="HPEAWG"/>
          <xsd:enumeration value="HPKTTF"/>
          <xsd:enumeration value="HPMMTF"/>
          <xsd:enumeration value="HPWG"/>
          <xsd:enumeration value="HRCC"/>
          <xsd:enumeration value="ISAS"/>
          <xsd:enumeration value="JGC"/>
          <xsd:enumeration value="JSIS"/>
          <xsd:enumeration value="LMWG"/>
          <xsd:enumeration value="LRTF"/>
          <xsd:enumeration value="MAC"/>
          <xsd:enumeration value="MIC"/>
          <xsd:enumeration value="MRAWG"/>
          <xsd:enumeration value="MVS"/>
          <xsd:enumeration value="NC"/>
          <xsd:enumeration value="OAWG"/>
          <xsd:enumeration value="OC"/>
          <xsd:enumeration value="PCDS"/>
          <xsd:enumeration value="PCMS"/>
          <xsd:enumeration value="PPMVDWG"/>
          <xsd:enumeration value="PRPTF"/>
          <xsd:enumeration value="PSWG"/>
          <xsd:enumeration value="PWG"/>
          <xsd:enumeration value="RAC"/>
          <xsd:enumeration value="RASRS"/>
          <xsd:enumeration value="REMWG"/>
          <xsd:enumeration value="RWG"/>
          <xsd:enumeration value="S49RC"/>
          <xsd:enumeration value="SASMS"/>
          <xsd:enumeration value="SCMWG"/>
          <xsd:enumeration value="SETF"/>
          <xsd:enumeration value="SEWG"/>
          <xsd:enumeration value="SPWG"/>
          <xsd:enumeration value="SRS"/>
          <xsd:enumeration value="StS"/>
          <xsd:enumeration value="SWG"/>
          <xsd:enumeration value="TELWG"/>
          <xsd:enumeration value="TSAWG"/>
          <xsd:enumeration value="UFLSWG"/>
          <xsd:enumeration value="WREGIS"/>
          <xsd:enumeration value="WREGIS-SAC"/>
          <xsd:enumeration value="WSC"/>
        </xsd:restriction>
      </xsd:simpleType>
    </xsd:element>
    <xsd:element name="Other_x0020_Reliability_x0020_Documents" ma:index="14" nillable="true" ma:displayName="Other Reliability Documents" ma:format="Dropdown" ma:internalName="Other_x0020_Reliability_x0020_Documents" ma:readOnly="false">
      <xsd:simpleType>
        <xsd:restriction base="dms:Choice">
          <xsd:enumeration value="..."/>
          <xsd:enumeration value="Best Practices"/>
          <xsd:enumeration value="Checklist"/>
          <xsd:enumeration value="Methodology"/>
          <xsd:enumeration value="Misoperations"/>
          <xsd:enumeration value="Protocol"/>
          <xsd:enumeration value="Workflow"/>
        </xsd:restriction>
      </xsd:simpleType>
    </xsd:element>
    <xsd:element name="Jurisdiction" ma:index="15" nillable="true" ma:displayName="Jurisdiction" ma:default="US (United States)" ma:internalName="Jurisdiction">
      <xsd:complexType>
        <xsd:complexContent>
          <xsd:extension base="dms:MultiChoice">
            <xsd:sequence>
              <xsd:element name="Value" maxOccurs="unbounded" minOccurs="0" nillable="true">
                <xsd:simpleType>
                  <xsd:restriction base="dms:Choice">
                    <xsd:enumeration value="US (United States)"/>
                    <xsd:enumeration value="AB (Alberta)"/>
                    <xsd:enumeration value="BC (British Columbia)"/>
                    <xsd:enumeration value="MX (Baja Mexico)"/>
                  </xsd:restriction>
                </xsd:simpleType>
              </xsd:element>
            </xsd:sequence>
          </xsd:extension>
        </xsd:complexContent>
      </xsd:complexType>
    </xsd:element>
    <xsd:element name="Standard_x0020_Family" ma:index="16" nillable="true" ma:displayName="Standard Family" ma:format="Dropdown" ma:internalName="Standard_x0020_Family">
      <xsd:simpleType>
        <xsd:restriction base="dms:Choice">
          <xsd:enumeration value="BAL"/>
          <xsd:enumeration value="CIP"/>
          <xsd:enumeration value="COM"/>
          <xsd:enumeration value="EOP"/>
          <xsd:enumeration value="FAC"/>
          <xsd:enumeration value="INT"/>
          <xsd:enumeration value="IRO"/>
          <xsd:enumeration value="MOD"/>
          <xsd:enumeration value="NUC"/>
          <xsd:enumeration value="PER"/>
          <xsd:enumeration value="PRC"/>
          <xsd:enumeration value="TOP"/>
          <xsd:enumeration value="TPL"/>
          <xsd:enumeration value="VAR"/>
        </xsd:restriction>
      </xsd:simpleType>
    </xsd:element>
  </xsd:schema>
  <xsd:schema xmlns:xsd="http://www.w3.org/2001/XMLSchema" xmlns:xs="http://www.w3.org/2001/XMLSchema" xmlns:dms="http://schemas.microsoft.com/office/2006/documentManagement/types" xmlns:pc="http://schemas.microsoft.com/office/infopath/2007/PartnerControls" targetNamespace="4bd63098-0c83-43cf-abdd-085f2cc55a51" elementFormDefault="qualified">
    <xsd:import namespace="http://schemas.microsoft.com/office/2006/documentManagement/types"/>
    <xsd:import namespace="http://schemas.microsoft.com/office/infopath/2007/PartnerControls"/>
    <xsd:element name="TaxKeywordTaxHTField" ma:index="17" nillable="true" ma:taxonomy="true" ma:internalName="TaxKeywordTaxHTField" ma:taxonomyFieldName="TaxKeyword" ma:displayName="Enterprise Keywords" ma:fieldId="{23f27201-bee3-471e-b2e7-b64fd8b7ca38}" ma:taxonomyMulti="true" ma:sspId="af747698-1922-4602-8604-6fec0d9c99b7"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16224b44-889d-4166-9284-f04ddcafbdf4}" ma:internalName="TaxCatchAll" ma:showField="CatchAllData" ma:web="4bd63098-0c83-43cf-abdd-085f2cc55a51">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vent_x0020_ID" ma:index="23" nillable="true" ma:displayName="Calendar Event ID" ma:internalName="Event_x0020_ID">
      <xsd:simpleType>
        <xsd:restriction base="dms:Note">
          <xsd:maxLength value="255"/>
        </xsd:restriction>
      </xsd:simpleType>
    </xsd:element>
    <xsd:element name="Approver" ma:index="24" ma:displayName="Approver" ma:list="UserInfo" ma:SharePointGroup="4815"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ategorization_x0020_Policy xmlns="2fb8a92a-9032-49d6-b983-191f0a73b01f">Regional Criteria</Document_x0020_Categorization_x0020_Policy>
    <TaxCatchAll xmlns="4bd63098-0c83-43cf-abdd-085f2cc55a51">
      <Value>2069</Value>
      <Value>650</Value>
    </TaxCatchAll>
    <Privacy xmlns="2fb8a92a-9032-49d6-b983-191f0a73b01f">Public</Privacy>
    <Event_x0020_ID xmlns="4bd63098-0c83-43cf-abdd-085f2cc55a51" xsi:nil="true"/>
    <Committee xmlns="2fb8a92a-9032-49d6-b983-191f0a73b01f">
      <Value>WSC</Value>
    </Committee>
    <WECC_x0020_Status xmlns="2fb8a92a-9032-49d6-b983-191f0a73b01f">Approved/Final</WECC_x0020_Status>
    <Owner_x0020_Group xmlns="2fb8a92a-9032-49d6-b983-191f0a73b01f">
      <Value>Reliability Standards</Value>
    </Owner_x0020_Group>
    <TaxKeywordTaxHTField xmlns="4bd63098-0c83-43cf-abdd-085f2cc55a51">
      <Terms xmlns="http://schemas.microsoft.com/office/infopath/2007/PartnerControls">
        <TermInfo xmlns="http://schemas.microsoft.com/office/infopath/2007/PartnerControls">
          <TermName xmlns="http://schemas.microsoft.com/office/infopath/2007/PartnerControls">WECC-0146</TermName>
          <TermId xmlns="http://schemas.microsoft.com/office/infopath/2007/PartnerControls">78f1fa10-ac1c-45c6-91bc-62d287db856a</TermId>
        </TermInfo>
        <TermInfo xmlns="http://schemas.microsoft.com/office/infopath/2007/PartnerControls">
          <TermName xmlns="http://schemas.microsoft.com/office/infopath/2007/PartnerControls">Submit and Review Comments</TermName>
          <TermId xmlns="http://schemas.microsoft.com/office/infopath/2007/PartnerControls">b87a555a-b3e8-4e12-b0c3-be4bd0ab7d0f</TermId>
        </TermInfo>
      </Terms>
    </TaxKeywordTaxHTField>
    <Approver xmlns="4bd63098-0c83-43cf-abdd-085f2cc55a51">
      <UserInfo>
        <DisplayName>Crane, Donovan</DisplayName>
        <AccountId>6264</AccountId>
        <AccountType/>
      </UserInfo>
    </Approver>
    <_dlc_DocId xmlns="4bd63098-0c83-43cf-abdd-085f2cc55a51">YWEQ7USXTMD7-3-12821</_dlc_DocId>
    <_dlc_DocIdUrl xmlns="4bd63098-0c83-43cf-abdd-085f2cc55a51">
      <Url>https://internal.wecc.org/_layouts/15/DocIdRedir.aspx?ID=YWEQ7USXTMD7-3-12821</Url>
      <Description>YWEQ7USXTMD7-3-12821</Description>
    </_dlc_DocIdUrl>
    <Jurisdiction xmlns="2fb8a92a-9032-49d6-b983-191f0a73b01f"/>
    <Standard_x0020_Family xmlns="2fb8a92a-9032-49d6-b983-191f0a73b01f">TPL</Standard_x0020_Family>
    <Other_x0020_Reliability_x0020_Documents xmlns="2fb8a92a-9032-49d6-b983-191f0a73b01f" xsi:nil="true"/>
    <Adopted_x002f_Approved_x0020_By xmlns="2fb8a92a-9032-49d6-b983-191f0a73b01f">WSC</Adopted_x002f_Approved_x0020_By>
  </documentManagement>
</p:properties>
</file>

<file path=customXml/itemProps1.xml><?xml version="1.0" encoding="utf-8"?>
<ds:datastoreItem xmlns:ds="http://schemas.openxmlformats.org/officeDocument/2006/customXml" ds:itemID="{4874C730-6655-49EF-8FCE-F37F5BF5CDB1}">
  <ds:schemaRefs>
    <ds:schemaRef ds:uri="http://schemas.openxmlformats.org/officeDocument/2006/bibliography"/>
  </ds:schemaRefs>
</ds:datastoreItem>
</file>

<file path=customXml/itemProps2.xml><?xml version="1.0" encoding="utf-8"?>
<ds:datastoreItem xmlns:ds="http://schemas.openxmlformats.org/officeDocument/2006/customXml" ds:itemID="{1D004E8A-1128-4C38-A597-D93A2D5643F4}"/>
</file>

<file path=customXml/itemProps3.xml><?xml version="1.0" encoding="utf-8"?>
<ds:datastoreItem xmlns:ds="http://schemas.openxmlformats.org/officeDocument/2006/customXml" ds:itemID="{097A20E7-79DA-47E5-820D-32CA977D3209}"/>
</file>

<file path=customXml/itemProps4.xml><?xml version="1.0" encoding="utf-8"?>
<ds:datastoreItem xmlns:ds="http://schemas.openxmlformats.org/officeDocument/2006/customXml" ds:itemID="{14E796FF-6F76-472D-BB04-2EDA0A3F4C21}"/>
</file>

<file path=customXml/itemProps5.xml><?xml version="1.0" encoding="utf-8"?>
<ds:datastoreItem xmlns:ds="http://schemas.openxmlformats.org/officeDocument/2006/customXml" ds:itemID="{52C5685D-8A4F-4B1D-88BC-0352AD9D1CB1}"/>
</file>

<file path=docProps/app.xml><?xml version="1.0" encoding="utf-8"?>
<Properties xmlns="http://schemas.openxmlformats.org/officeDocument/2006/extended-properties" xmlns:vt="http://schemas.openxmlformats.org/officeDocument/2006/docPropsVTypes">
  <Template>BasicDocument</Template>
  <TotalTime>3</TotalTime>
  <Pages>13</Pages>
  <Words>3224</Words>
  <Characters>18379</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Posting 1</vt:lpstr>
      <vt:lpstr>    Posting</vt:lpstr>
      <vt:lpstr>    Location of Comments</vt:lpstr>
      <vt:lpstr>    Changes in Response to Comment</vt:lpstr>
      <vt:lpstr>    Minority View</vt:lpstr>
      <vt:lpstr>    Proposed Effective Date</vt:lpstr>
      <vt:lpstr>    Justification</vt:lpstr>
      <vt:lpstr>    Impact on Other WECC Criteria</vt:lpstr>
      <vt:lpstr>    Action Plan </vt:lpstr>
      <vt:lpstr>    Contacts and Appeals</vt:lpstr>
      <vt:lpstr>Index to Questions, Comments, and Responses</vt:lpstr>
      <vt:lpstr>    Question</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WECC-0146 Posting 1 TPL-001-WECC-CRT-3 Response to Comments</dc:title>
  <dc:subject/>
  <dc:creator>Coleman, Chad</dc:creator>
  <cp:keywords>Submit and Review Comments; WECC-0146</cp:keywords>
  <dc:description/>
  <cp:lastModifiedBy>Black, Shannon</cp:lastModifiedBy>
  <cp:revision>2</cp:revision>
  <cp:lastPrinted>2021-12-16T23:06:00Z</cp:lastPrinted>
  <dcterms:created xsi:type="dcterms:W3CDTF">2022-10-03T21:28:00Z</dcterms:created>
  <dcterms:modified xsi:type="dcterms:W3CDTF">2022-10-03T21:28:00Z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0x010100E45EF0F8AAA65E428351BA36F1B645BE1200CA280BBE04EF434C8DECBE67FD58A074</vt:lpwstr>
  </property>
  <property fmtid="{D5CDD505-2E9C-101B-9397-08002B2CF9AE}" pid="3" name="_dlc_DocIdItemGuid">
    <vt:lpwstr>e34819c8-8740-454c-b5aa-4c2a420b8070</vt:lpwstr>
  </property>
  <property fmtid="{D5CDD505-2E9C-101B-9397-08002B2CF9AE}" pid="4" name="TaxKeyword">
    <vt:lpwstr>2069;#WECC-0146|78f1fa10-ac1c-45c6-91bc-62d287db856a;#650;#Submit and Review Comments|b87a555a-b3e8-4e12-b0c3-be4bd0ab7d0f</vt:lpwstr>
  </property>
</Properties>
</file>