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5B3" w:rsidRDefault="003315B3" w:rsidP="00F7585F">
      <w:pPr>
        <w:widowControl w:val="0"/>
        <w:tabs>
          <w:tab w:val="left" w:pos="0"/>
        </w:tabs>
        <w:rPr>
          <w:rFonts w:asciiTheme="minorHAnsi" w:hAnsiTheme="minorHAnsi" w:cstheme="minorHAnsi"/>
        </w:rPr>
      </w:pPr>
    </w:p>
    <w:p w:rsidR="003315B3" w:rsidRDefault="003315B3" w:rsidP="00F7585F">
      <w:pPr>
        <w:widowControl w:val="0"/>
        <w:tabs>
          <w:tab w:val="left" w:pos="0"/>
        </w:tabs>
        <w:rPr>
          <w:rFonts w:asciiTheme="minorHAnsi" w:hAnsiTheme="minorHAnsi" w:cstheme="minorHAnsi"/>
        </w:rPr>
      </w:pPr>
    </w:p>
    <w:p w:rsidR="00F7585F" w:rsidRPr="00F7585F" w:rsidRDefault="006D00FD" w:rsidP="00F7585F">
      <w:pPr>
        <w:widowControl w:val="0"/>
        <w:tabs>
          <w:tab w:val="left" w:pos="0"/>
        </w:tabs>
        <w:rPr>
          <w:rFonts w:asciiTheme="minorHAnsi" w:hAnsiTheme="minorHAnsi" w:cstheme="minorHAnsi"/>
        </w:rPr>
      </w:pPr>
      <w:r>
        <w:rPr>
          <w:noProof/>
        </w:rPr>
        <w:drawing>
          <wp:inline distT="0" distB="0" distL="0" distR="0" wp14:anchorId="6A5D93D2" wp14:editId="1AD2CE54">
            <wp:extent cx="2057400" cy="638175"/>
            <wp:effectExtent l="0" t="0" r="0" b="0"/>
            <wp:docPr id="1" name="Picture 1" descr="C:\Users\hrasmussen\Desktop\WECC_Logo_NEW_tophe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asmussen\Desktop\WECC_Logo_NEW_topheav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638175"/>
                    </a:xfrm>
                    <a:prstGeom prst="rect">
                      <a:avLst/>
                    </a:prstGeom>
                    <a:noFill/>
                    <a:ln>
                      <a:noFill/>
                    </a:ln>
                  </pic:spPr>
                </pic:pic>
              </a:graphicData>
            </a:graphic>
          </wp:inline>
        </w:drawing>
      </w:r>
    </w:p>
    <w:p w:rsidR="00F7585F" w:rsidRPr="00F7585F" w:rsidRDefault="00F7585F" w:rsidP="00F7585F">
      <w:pPr>
        <w:widowControl w:val="0"/>
        <w:tabs>
          <w:tab w:val="left" w:pos="0"/>
          <w:tab w:val="center" w:pos="5819"/>
        </w:tabs>
        <w:rPr>
          <w:rFonts w:asciiTheme="minorHAnsi" w:hAnsiTheme="minorHAnsi" w:cstheme="minorHAnsi"/>
          <w:b/>
          <w:bCs/>
        </w:rPr>
      </w:pPr>
    </w:p>
    <w:p w:rsidR="00F7585F" w:rsidRPr="00F7585F" w:rsidRDefault="00F7585F" w:rsidP="00F7585F">
      <w:pPr>
        <w:widowControl w:val="0"/>
        <w:tabs>
          <w:tab w:val="left" w:pos="0"/>
        </w:tabs>
        <w:rPr>
          <w:rFonts w:asciiTheme="minorHAnsi" w:hAnsiTheme="minorHAnsi" w:cstheme="minorHAnsi"/>
          <w:b/>
          <w:bCs/>
          <w:sz w:val="44"/>
          <w:szCs w:val="44"/>
        </w:rPr>
      </w:pPr>
      <w:r w:rsidRPr="00F7585F">
        <w:rPr>
          <w:rFonts w:asciiTheme="minorHAnsi" w:hAnsiTheme="minorHAnsi" w:cstheme="minorHAnsi"/>
          <w:b/>
          <w:bCs/>
          <w:sz w:val="44"/>
          <w:szCs w:val="44"/>
        </w:rPr>
        <w:t>Reliability Standard Audit Worksheet</w:t>
      </w:r>
      <w:r w:rsidRPr="00F7585F">
        <w:rPr>
          <w:rStyle w:val="FootnoteReference"/>
          <w:rFonts w:asciiTheme="minorHAnsi" w:hAnsiTheme="minorHAnsi" w:cstheme="minorHAnsi"/>
          <w:b/>
          <w:bCs/>
          <w:sz w:val="44"/>
          <w:szCs w:val="44"/>
        </w:rPr>
        <w:footnoteReference w:id="1"/>
      </w:r>
    </w:p>
    <w:p w:rsidR="00F7585F" w:rsidRPr="00F7585F" w:rsidRDefault="00F7585F" w:rsidP="00F7585F">
      <w:pPr>
        <w:tabs>
          <w:tab w:val="left" w:pos="0"/>
          <w:tab w:val="left" w:pos="1080"/>
        </w:tabs>
        <w:rPr>
          <w:rFonts w:asciiTheme="minorHAnsi" w:hAnsiTheme="minorHAnsi" w:cstheme="minorHAnsi"/>
          <w:b/>
          <w:i/>
          <w:color w:val="FF0000"/>
        </w:rPr>
      </w:pPr>
    </w:p>
    <w:p w:rsidR="00050FE8" w:rsidRPr="00050FE8" w:rsidRDefault="00050FE8" w:rsidP="00F7585F">
      <w:pPr>
        <w:tabs>
          <w:tab w:val="left" w:pos="0"/>
          <w:tab w:val="left" w:pos="1080"/>
        </w:tabs>
        <w:rPr>
          <w:rFonts w:asciiTheme="minorHAnsi" w:hAnsiTheme="minorHAnsi" w:cs="Times New Roman"/>
          <w:b/>
          <w:bCs/>
          <w:color w:val="000000"/>
          <w:sz w:val="32"/>
          <w:szCs w:val="24"/>
        </w:rPr>
      </w:pPr>
      <w:r w:rsidRPr="00050FE8">
        <w:rPr>
          <w:rFonts w:asciiTheme="minorHAnsi" w:hAnsiTheme="minorHAnsi" w:cs="Times New Roman"/>
          <w:b/>
          <w:bCs/>
          <w:color w:val="000000"/>
          <w:sz w:val="32"/>
          <w:szCs w:val="24"/>
        </w:rPr>
        <w:t>VAR-002-WECC-</w:t>
      </w:r>
      <w:r w:rsidR="002845A1">
        <w:rPr>
          <w:rFonts w:asciiTheme="minorHAnsi" w:hAnsiTheme="minorHAnsi" w:cs="Times New Roman"/>
          <w:b/>
          <w:bCs/>
          <w:color w:val="000000"/>
          <w:sz w:val="32"/>
          <w:szCs w:val="24"/>
        </w:rPr>
        <w:t>2</w:t>
      </w:r>
      <w:r>
        <w:rPr>
          <w:rFonts w:asciiTheme="minorHAnsi" w:hAnsiTheme="minorHAnsi" w:cs="Times New Roman"/>
          <w:b/>
          <w:bCs/>
          <w:color w:val="000000"/>
          <w:sz w:val="32"/>
          <w:szCs w:val="24"/>
        </w:rPr>
        <w:t xml:space="preserve"> – Automatic </w:t>
      </w:r>
      <w:r w:rsidRPr="00050FE8">
        <w:rPr>
          <w:rFonts w:asciiTheme="minorHAnsi" w:hAnsiTheme="minorHAnsi" w:cs="Times New Roman"/>
          <w:b/>
          <w:bCs/>
          <w:color w:val="000000"/>
          <w:sz w:val="32"/>
          <w:szCs w:val="24"/>
        </w:rPr>
        <w:t>Voltage Regulators (WECC)</w:t>
      </w:r>
    </w:p>
    <w:p w:rsidR="00050FE8" w:rsidRDefault="00050FE8" w:rsidP="00F7585F">
      <w:pPr>
        <w:tabs>
          <w:tab w:val="left" w:pos="0"/>
          <w:tab w:val="left" w:pos="1080"/>
        </w:tabs>
        <w:rPr>
          <w:rFonts w:asciiTheme="minorHAnsi" w:hAnsiTheme="minorHAnsi"/>
          <w:sz w:val="18"/>
          <w:szCs w:val="18"/>
        </w:rPr>
      </w:pPr>
    </w:p>
    <w:p w:rsidR="003021B8" w:rsidRDefault="003021B8" w:rsidP="003021B8">
      <w:pPr>
        <w:tabs>
          <w:tab w:val="left" w:pos="0"/>
          <w:tab w:val="left" w:pos="1080"/>
        </w:tabs>
        <w:rPr>
          <w:rFonts w:asciiTheme="minorHAnsi" w:hAnsiTheme="minorHAnsi"/>
          <w:b/>
          <w:i/>
          <w:color w:val="FF0000"/>
        </w:rPr>
      </w:pPr>
      <w:r>
        <w:rPr>
          <w:rFonts w:asciiTheme="minorHAnsi" w:hAnsiTheme="minorHAnsi"/>
          <w:b/>
          <w:i/>
          <w:color w:val="FF0000"/>
        </w:rPr>
        <w:t xml:space="preserve">This section to </w:t>
      </w:r>
      <w:proofErr w:type="gramStart"/>
      <w:r>
        <w:rPr>
          <w:rFonts w:asciiTheme="minorHAnsi" w:hAnsiTheme="minorHAnsi"/>
          <w:b/>
          <w:i/>
          <w:color w:val="FF0000"/>
        </w:rPr>
        <w:t>be completed</w:t>
      </w:r>
      <w:proofErr w:type="gramEnd"/>
      <w:r>
        <w:rPr>
          <w:rFonts w:asciiTheme="minorHAnsi" w:hAnsiTheme="minorHAnsi"/>
          <w:b/>
          <w:i/>
          <w:color w:val="FF0000"/>
        </w:rPr>
        <w:t xml:space="preserve"> by the Compliance Enforcement Authority.    </w:t>
      </w:r>
    </w:p>
    <w:p w:rsidR="003021B8" w:rsidRDefault="003021B8" w:rsidP="003021B8">
      <w:pPr>
        <w:widowControl w:val="0"/>
        <w:tabs>
          <w:tab w:val="left" w:pos="0"/>
        </w:tabs>
        <w:rPr>
          <w:rFonts w:asciiTheme="minorHAnsi" w:hAnsiTheme="minorHAnsi" w:cs="Tahoma"/>
          <w:b/>
          <w:bCs/>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7128"/>
      </w:tblGrid>
      <w:tr w:rsidR="003021B8" w:rsidTr="003021B8">
        <w:tc>
          <w:tcPr>
            <w:tcW w:w="3888" w:type="dxa"/>
            <w:hideMark/>
          </w:tcPr>
          <w:p w:rsidR="003021B8" w:rsidRDefault="003021B8">
            <w:pPr>
              <w:widowControl w:val="0"/>
              <w:tabs>
                <w:tab w:val="left" w:pos="0"/>
              </w:tabs>
              <w:rPr>
                <w:rFonts w:asciiTheme="minorHAnsi" w:hAnsiTheme="minorHAnsi" w:cs="Times New Roman"/>
                <w:i/>
                <w:iCs/>
                <w:color w:val="auto"/>
              </w:rPr>
            </w:pPr>
            <w:r>
              <w:rPr>
                <w:rFonts w:asciiTheme="minorHAnsi" w:hAnsiTheme="minorHAnsi" w:cs="Tahoma"/>
                <w:b/>
                <w:bCs/>
                <w:color w:val="auto"/>
              </w:rPr>
              <w:t>Registered Entity:</w:t>
            </w:r>
            <w:r>
              <w:rPr>
                <w:rFonts w:asciiTheme="minorHAnsi" w:hAnsiTheme="minorHAnsi" w:cs="Times New Roman"/>
                <w:b/>
                <w:bCs/>
                <w:color w:val="auto"/>
              </w:rPr>
              <w:t xml:space="preserve"> </w:t>
            </w:r>
          </w:p>
        </w:tc>
        <w:tc>
          <w:tcPr>
            <w:tcW w:w="7128" w:type="dxa"/>
            <w:hideMark/>
          </w:tcPr>
          <w:p w:rsidR="003021B8" w:rsidRDefault="003021B8">
            <w:pPr>
              <w:widowControl w:val="0"/>
              <w:tabs>
                <w:tab w:val="left" w:pos="0"/>
              </w:tabs>
              <w:rPr>
                <w:rFonts w:asciiTheme="minorHAnsi" w:hAnsiTheme="minorHAnsi" w:cs="Tahoma"/>
                <w:bCs/>
                <w:color w:val="A6A6A6" w:themeColor="background1" w:themeShade="A6"/>
              </w:rPr>
            </w:pPr>
            <w:r>
              <w:rPr>
                <w:rFonts w:asciiTheme="minorHAnsi" w:hAnsiTheme="minorHAnsi" w:cs="Tahoma"/>
                <w:bCs/>
                <w:color w:val="A6A6A6" w:themeColor="background1" w:themeShade="A6"/>
              </w:rPr>
              <w:t>Registered name of entity being audited</w:t>
            </w:r>
          </w:p>
        </w:tc>
      </w:tr>
      <w:tr w:rsidR="003021B8" w:rsidTr="003021B8">
        <w:tc>
          <w:tcPr>
            <w:tcW w:w="3888" w:type="dxa"/>
            <w:hideMark/>
          </w:tcPr>
          <w:p w:rsidR="003021B8" w:rsidRDefault="003021B8">
            <w:pPr>
              <w:widowControl w:val="0"/>
              <w:tabs>
                <w:tab w:val="left" w:pos="0"/>
              </w:tabs>
              <w:rPr>
                <w:rFonts w:asciiTheme="minorHAnsi" w:hAnsiTheme="minorHAnsi" w:cs="Times New Roman"/>
                <w:i/>
                <w:iCs/>
                <w:color w:val="auto"/>
              </w:rPr>
            </w:pPr>
            <w:r>
              <w:rPr>
                <w:rFonts w:asciiTheme="minorHAnsi" w:hAnsiTheme="minorHAnsi" w:cs="Tahoma"/>
                <w:b/>
                <w:bCs/>
                <w:color w:val="auto"/>
              </w:rPr>
              <w:t>NCR Number:</w:t>
            </w:r>
            <w:r>
              <w:rPr>
                <w:rFonts w:asciiTheme="minorHAnsi" w:hAnsiTheme="minorHAnsi" w:cs="Times New Roman"/>
                <w:b/>
                <w:bCs/>
                <w:color w:val="auto"/>
              </w:rPr>
              <w:t xml:space="preserve">  </w:t>
            </w:r>
          </w:p>
        </w:tc>
        <w:tc>
          <w:tcPr>
            <w:tcW w:w="7128" w:type="dxa"/>
            <w:hideMark/>
          </w:tcPr>
          <w:p w:rsidR="003021B8" w:rsidRDefault="003021B8">
            <w:pPr>
              <w:widowControl w:val="0"/>
              <w:tabs>
                <w:tab w:val="left" w:pos="0"/>
              </w:tabs>
              <w:rPr>
                <w:rFonts w:asciiTheme="minorHAnsi" w:hAnsiTheme="minorHAnsi" w:cs="Tahoma"/>
                <w:bCs/>
                <w:color w:val="A6A6A6" w:themeColor="background1" w:themeShade="A6"/>
              </w:rPr>
            </w:pPr>
            <w:proofErr w:type="spellStart"/>
            <w:r>
              <w:rPr>
                <w:rFonts w:asciiTheme="minorHAnsi" w:hAnsiTheme="minorHAnsi" w:cs="Tahoma"/>
                <w:bCs/>
                <w:color w:val="A6A6A6" w:themeColor="background1" w:themeShade="A6"/>
              </w:rPr>
              <w:t>NCRnnnnn</w:t>
            </w:r>
            <w:proofErr w:type="spellEnd"/>
          </w:p>
        </w:tc>
      </w:tr>
      <w:tr w:rsidR="003021B8" w:rsidTr="003021B8">
        <w:tc>
          <w:tcPr>
            <w:tcW w:w="3888" w:type="dxa"/>
            <w:hideMark/>
          </w:tcPr>
          <w:p w:rsidR="003021B8" w:rsidRDefault="003021B8">
            <w:pPr>
              <w:widowControl w:val="0"/>
              <w:tabs>
                <w:tab w:val="left" w:pos="0"/>
              </w:tabs>
              <w:rPr>
                <w:rFonts w:asciiTheme="minorHAnsi" w:hAnsiTheme="minorHAnsi" w:cs="Times New Roman"/>
                <w:b/>
                <w:bCs/>
              </w:rPr>
            </w:pPr>
            <w:r>
              <w:rPr>
                <w:rFonts w:asciiTheme="minorHAnsi" w:hAnsiTheme="minorHAnsi" w:cs="Times New Roman"/>
                <w:b/>
              </w:rPr>
              <w:tab/>
            </w:r>
            <w:r>
              <w:rPr>
                <w:rFonts w:asciiTheme="minorHAnsi" w:hAnsiTheme="minorHAnsi" w:cs="Times New Roman"/>
                <w:b/>
                <w:bCs/>
              </w:rPr>
              <w:tab/>
            </w:r>
            <w:r>
              <w:rPr>
                <w:rFonts w:asciiTheme="minorHAnsi" w:hAnsiTheme="minorHAnsi" w:cs="Times New Roman"/>
                <w:b/>
                <w:bCs/>
              </w:rPr>
              <w:tab/>
            </w:r>
            <w:r>
              <w:rPr>
                <w:rFonts w:asciiTheme="minorHAnsi" w:hAnsiTheme="minorHAnsi" w:cs="Times New Roman"/>
                <w:b/>
                <w:bCs/>
              </w:rPr>
              <w:tab/>
              <w:t>Compliance Enforcement Authority:</w:t>
            </w:r>
          </w:p>
        </w:tc>
        <w:tc>
          <w:tcPr>
            <w:tcW w:w="7128" w:type="dxa"/>
            <w:hideMark/>
          </w:tcPr>
          <w:p w:rsidR="003021B8" w:rsidRDefault="003021B8">
            <w:pPr>
              <w:widowControl w:val="0"/>
              <w:tabs>
                <w:tab w:val="left" w:pos="0"/>
              </w:tabs>
              <w:rPr>
                <w:rFonts w:asciiTheme="minorHAnsi" w:hAnsiTheme="minorHAnsi" w:cs="Times New Roman"/>
                <w:color w:val="A6A6A6" w:themeColor="background1" w:themeShade="A6"/>
              </w:rPr>
            </w:pPr>
            <w:r>
              <w:rPr>
                <w:rFonts w:asciiTheme="minorHAnsi" w:hAnsiTheme="minorHAnsi" w:cs="Times New Roman"/>
                <w:color w:val="A6A6A6" w:themeColor="background1" w:themeShade="A6"/>
              </w:rPr>
              <w:t>Region or NERC performing audit</w:t>
            </w:r>
          </w:p>
        </w:tc>
      </w:tr>
      <w:tr w:rsidR="003021B8" w:rsidTr="003021B8">
        <w:tc>
          <w:tcPr>
            <w:tcW w:w="3888" w:type="dxa"/>
            <w:hideMark/>
          </w:tcPr>
          <w:p w:rsidR="003021B8" w:rsidRDefault="003021B8">
            <w:pPr>
              <w:widowControl w:val="0"/>
              <w:tabs>
                <w:tab w:val="left" w:pos="0"/>
              </w:tabs>
              <w:rPr>
                <w:rFonts w:asciiTheme="minorHAnsi" w:hAnsiTheme="minorHAnsi" w:cs="Times New Roman"/>
                <w:b/>
                <w:bCs/>
              </w:rPr>
            </w:pPr>
            <w:r>
              <w:rPr>
                <w:rFonts w:asciiTheme="minorHAnsi" w:hAnsiTheme="minorHAnsi" w:cs="Times New Roman"/>
                <w:b/>
                <w:bCs/>
              </w:rPr>
              <w:t>Compliance Assessment Date(s)</w:t>
            </w:r>
            <w:r>
              <w:rPr>
                <w:rStyle w:val="FootnoteReference"/>
                <w:rFonts w:asciiTheme="minorHAnsi" w:hAnsiTheme="minorHAnsi" w:cs="Times New Roman"/>
                <w:b/>
                <w:bCs/>
              </w:rPr>
              <w:footnoteReference w:id="2"/>
            </w:r>
            <w:r>
              <w:rPr>
                <w:rFonts w:asciiTheme="minorHAnsi" w:hAnsiTheme="minorHAnsi" w:cs="Times New Roman"/>
                <w:b/>
                <w:bCs/>
              </w:rPr>
              <w:t>:</w:t>
            </w:r>
          </w:p>
        </w:tc>
        <w:tc>
          <w:tcPr>
            <w:tcW w:w="7128" w:type="dxa"/>
            <w:hideMark/>
          </w:tcPr>
          <w:p w:rsidR="003021B8" w:rsidRDefault="003021B8">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Month DD, YYYY, to Month DD, YYYY</w:t>
            </w:r>
          </w:p>
        </w:tc>
      </w:tr>
      <w:tr w:rsidR="003021B8" w:rsidTr="003021B8">
        <w:tc>
          <w:tcPr>
            <w:tcW w:w="3888" w:type="dxa"/>
            <w:hideMark/>
          </w:tcPr>
          <w:p w:rsidR="003021B8" w:rsidRDefault="003021B8">
            <w:pPr>
              <w:widowControl w:val="0"/>
              <w:tabs>
                <w:tab w:val="left" w:pos="0"/>
              </w:tabs>
              <w:rPr>
                <w:rFonts w:asciiTheme="minorHAnsi" w:hAnsiTheme="minorHAnsi" w:cs="Times New Roman"/>
                <w:b/>
                <w:bCs/>
              </w:rPr>
            </w:pPr>
            <w:r>
              <w:rPr>
                <w:rFonts w:asciiTheme="minorHAnsi" w:hAnsiTheme="minorHAnsi" w:cs="Times New Roman"/>
                <w:b/>
                <w:bCs/>
              </w:rPr>
              <w:t xml:space="preserve">Compliance Monitoring Method: </w:t>
            </w:r>
          </w:p>
        </w:tc>
        <w:tc>
          <w:tcPr>
            <w:tcW w:w="7128" w:type="dxa"/>
            <w:hideMark/>
          </w:tcPr>
          <w:p w:rsidR="003021B8" w:rsidRDefault="003021B8">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[On-site Audit | Off-site Audit | Spot Check]</w:t>
            </w:r>
          </w:p>
        </w:tc>
      </w:tr>
      <w:tr w:rsidR="003021B8" w:rsidTr="003021B8">
        <w:trPr>
          <w:trHeight w:val="80"/>
        </w:trPr>
        <w:tc>
          <w:tcPr>
            <w:tcW w:w="3888" w:type="dxa"/>
            <w:hideMark/>
          </w:tcPr>
          <w:p w:rsidR="003021B8" w:rsidRDefault="003021B8">
            <w:pPr>
              <w:widowControl w:val="0"/>
              <w:tabs>
                <w:tab w:val="left" w:pos="0"/>
              </w:tabs>
              <w:rPr>
                <w:rFonts w:asciiTheme="minorHAnsi" w:hAnsiTheme="minorHAnsi"/>
                <w:b/>
                <w:bCs/>
              </w:rPr>
            </w:pPr>
            <w:r>
              <w:rPr>
                <w:rFonts w:asciiTheme="minorHAnsi" w:hAnsiTheme="minorHAnsi" w:cs="Tahoma"/>
                <w:b/>
                <w:bCs/>
              </w:rPr>
              <w:t>Names of Auditors:</w:t>
            </w:r>
            <w:r>
              <w:rPr>
                <w:rFonts w:asciiTheme="minorHAnsi" w:hAnsiTheme="minorHAnsi" w:cs="Tahoma"/>
                <w:b/>
                <w:bCs/>
              </w:rPr>
              <w:tab/>
            </w:r>
          </w:p>
        </w:tc>
        <w:tc>
          <w:tcPr>
            <w:tcW w:w="7128" w:type="dxa"/>
            <w:hideMark/>
          </w:tcPr>
          <w:p w:rsidR="003021B8" w:rsidRDefault="003021B8">
            <w:pPr>
              <w:widowControl w:val="0"/>
              <w:tabs>
                <w:tab w:val="left" w:pos="0"/>
              </w:tabs>
              <w:rPr>
                <w:rFonts w:asciiTheme="minorHAnsi" w:hAnsiTheme="minorHAnsi" w:cs="Tahoma"/>
                <w:bCs/>
                <w:color w:val="A6A6A6" w:themeColor="background1" w:themeShade="A6"/>
              </w:rPr>
            </w:pPr>
            <w:r>
              <w:rPr>
                <w:rFonts w:asciiTheme="minorHAnsi" w:hAnsiTheme="minorHAnsi" w:cs="Tahoma"/>
                <w:bCs/>
                <w:color w:val="A6A6A6" w:themeColor="background1" w:themeShade="A6"/>
              </w:rPr>
              <w:t>Supplied by CEA</w:t>
            </w:r>
          </w:p>
        </w:tc>
      </w:tr>
    </w:tbl>
    <w:p w:rsidR="003021B8" w:rsidRDefault="003021B8" w:rsidP="003021B8">
      <w:pPr>
        <w:autoSpaceDE/>
        <w:adjustRightInd/>
        <w:rPr>
          <w:rFonts w:asciiTheme="minorHAnsi" w:hAnsiTheme="minorHAnsi" w:cs="Times New Roman"/>
          <w:b/>
          <w:bCs/>
          <w:color w:val="003366"/>
          <w:sz w:val="32"/>
          <w:szCs w:val="32"/>
        </w:rPr>
      </w:pPr>
    </w:p>
    <w:p w:rsidR="003021B8" w:rsidRDefault="003021B8" w:rsidP="003021B8">
      <w:pPr>
        <w:pStyle w:val="Heading1"/>
        <w:rPr>
          <w:rFonts w:asciiTheme="minorHAnsi" w:hAnsiTheme="minorHAnsi"/>
          <w:color w:val="auto"/>
          <w:sz w:val="24"/>
          <w:szCs w:val="24"/>
        </w:rPr>
      </w:pPr>
      <w:r>
        <w:rPr>
          <w:rFonts w:asciiTheme="minorHAnsi" w:hAnsiTheme="minorHAnsi"/>
          <w:b/>
          <w:color w:val="auto"/>
          <w:sz w:val="24"/>
          <w:szCs w:val="24"/>
          <w:u w:val="single"/>
        </w:rPr>
        <w:t>Applicability of Requirements</w:t>
      </w:r>
      <w:r>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021B8" w:rsidTr="003021B8">
        <w:tc>
          <w:tcPr>
            <w:tcW w:w="605" w:type="dxa"/>
            <w:tcBorders>
              <w:top w:val="single" w:sz="4" w:space="0" w:color="auto"/>
              <w:left w:val="single" w:sz="4" w:space="0" w:color="auto"/>
              <w:bottom w:val="single" w:sz="4" w:space="0" w:color="auto"/>
              <w:right w:val="single" w:sz="4" w:space="0" w:color="auto"/>
            </w:tcBorders>
            <w:shd w:val="clear" w:color="auto" w:fill="DCDCFF"/>
          </w:tcPr>
          <w:p w:rsidR="003021B8" w:rsidRDefault="003021B8">
            <w:pPr>
              <w:jc w:val="center"/>
              <w:rPr>
                <w:rFonts w:asciiTheme="minorHAnsi" w:hAnsiTheme="minorHAnsi"/>
                <w:b/>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rsidR="003021B8" w:rsidRDefault="003021B8">
            <w:pPr>
              <w:jc w:val="center"/>
              <w:rPr>
                <w:rFonts w:asciiTheme="minorHAnsi" w:hAnsiTheme="minorHAnsi"/>
                <w:b/>
                <w:sz w:val="20"/>
                <w:szCs w:val="20"/>
              </w:rPr>
            </w:pPr>
            <w:r>
              <w:rPr>
                <w:rFonts w:asciiTheme="minorHAnsi" w:hAnsiTheme="minorHAnsi"/>
                <w:b/>
                <w:sz w:val="20"/>
                <w:szCs w:val="20"/>
              </w:rPr>
              <w:t>BA</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rsidR="003021B8" w:rsidRDefault="003021B8">
            <w:pPr>
              <w:jc w:val="center"/>
              <w:rPr>
                <w:rFonts w:asciiTheme="minorHAnsi" w:hAnsiTheme="minorHAnsi"/>
                <w:b/>
                <w:sz w:val="20"/>
                <w:szCs w:val="20"/>
              </w:rPr>
            </w:pPr>
            <w:r>
              <w:rPr>
                <w:rFonts w:asciiTheme="minorHAnsi" w:hAnsiTheme="minorHAnsi"/>
                <w:b/>
                <w:sz w:val="20"/>
                <w:szCs w:val="20"/>
              </w:rPr>
              <w:t>DP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rsidR="003021B8" w:rsidRDefault="003021B8">
            <w:pPr>
              <w:jc w:val="center"/>
              <w:rPr>
                <w:rFonts w:asciiTheme="minorHAnsi" w:hAnsiTheme="minorHAnsi"/>
                <w:b/>
                <w:sz w:val="20"/>
                <w:szCs w:val="20"/>
              </w:rPr>
            </w:pPr>
            <w:r>
              <w:rPr>
                <w:rFonts w:asciiTheme="minorHAnsi" w:hAnsiTheme="minorHAnsi"/>
                <w:b/>
                <w:sz w:val="20"/>
                <w:szCs w:val="20"/>
              </w:rPr>
              <w:t>GO</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rsidR="003021B8" w:rsidRDefault="003021B8">
            <w:pPr>
              <w:jc w:val="center"/>
              <w:rPr>
                <w:rFonts w:asciiTheme="minorHAnsi" w:hAnsiTheme="minorHAnsi"/>
                <w:b/>
                <w:sz w:val="20"/>
                <w:szCs w:val="20"/>
              </w:rPr>
            </w:pPr>
            <w:r>
              <w:rPr>
                <w:rFonts w:asciiTheme="minorHAnsi" w:hAnsiTheme="minorHAnsi"/>
                <w:b/>
                <w:sz w:val="20"/>
                <w:szCs w:val="20"/>
              </w:rPr>
              <w:t>GOP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rsidR="003021B8" w:rsidRDefault="003021B8">
            <w:pPr>
              <w:jc w:val="center"/>
              <w:rPr>
                <w:rFonts w:asciiTheme="minorHAnsi" w:hAnsiTheme="minorHAnsi"/>
                <w:b/>
                <w:sz w:val="20"/>
                <w:szCs w:val="20"/>
              </w:rPr>
            </w:pPr>
            <w:r>
              <w:rPr>
                <w:rFonts w:asciiTheme="minorHAnsi" w:hAnsiTheme="minorHAnsi"/>
                <w:b/>
                <w:sz w:val="20"/>
                <w:szCs w:val="20"/>
              </w:rPr>
              <w:t>IA</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rsidR="003021B8" w:rsidRDefault="003021B8">
            <w:pPr>
              <w:jc w:val="center"/>
              <w:rPr>
                <w:rFonts w:asciiTheme="minorHAnsi" w:hAnsiTheme="minorHAnsi"/>
                <w:b/>
                <w:sz w:val="20"/>
                <w:szCs w:val="20"/>
              </w:rPr>
            </w:pPr>
            <w:r>
              <w:rPr>
                <w:rFonts w:asciiTheme="minorHAnsi" w:hAnsiTheme="minorHAnsi"/>
                <w:b/>
                <w:sz w:val="20"/>
                <w:szCs w:val="20"/>
              </w:rPr>
              <w:t>LSE</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rsidR="003021B8" w:rsidRDefault="003021B8">
            <w:pPr>
              <w:jc w:val="center"/>
              <w:rPr>
                <w:rFonts w:asciiTheme="minorHAnsi" w:hAnsiTheme="minorHAnsi"/>
                <w:b/>
                <w:sz w:val="20"/>
                <w:szCs w:val="20"/>
              </w:rPr>
            </w:pPr>
            <w:r>
              <w:rPr>
                <w:rFonts w:asciiTheme="minorHAnsi" w:hAnsiTheme="minorHAnsi"/>
                <w:b/>
                <w:sz w:val="20"/>
                <w:szCs w:val="20"/>
              </w:rPr>
              <w:t>PA</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rsidR="003021B8" w:rsidRDefault="003021B8">
            <w:pPr>
              <w:jc w:val="center"/>
              <w:rPr>
                <w:rFonts w:asciiTheme="minorHAnsi" w:hAnsiTheme="minorHAnsi"/>
                <w:b/>
                <w:sz w:val="20"/>
                <w:szCs w:val="20"/>
              </w:rPr>
            </w:pPr>
            <w:r>
              <w:rPr>
                <w:rFonts w:asciiTheme="minorHAnsi" w:hAnsiTheme="minorHAnsi"/>
                <w:b/>
                <w:sz w:val="20"/>
                <w:szCs w:val="20"/>
              </w:rPr>
              <w:t>PSE</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rsidR="003021B8" w:rsidRDefault="003021B8">
            <w:pPr>
              <w:jc w:val="center"/>
              <w:rPr>
                <w:rFonts w:asciiTheme="minorHAnsi" w:hAnsiTheme="minorHAnsi"/>
                <w:b/>
                <w:sz w:val="20"/>
                <w:szCs w:val="20"/>
              </w:rPr>
            </w:pPr>
            <w:r>
              <w:rPr>
                <w:rFonts w:asciiTheme="minorHAnsi" w:hAnsiTheme="minorHAnsi"/>
                <w:b/>
                <w:sz w:val="20"/>
                <w:szCs w:val="20"/>
              </w:rPr>
              <w:t>RC</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rsidR="003021B8" w:rsidRDefault="003021B8">
            <w:pPr>
              <w:jc w:val="center"/>
              <w:rPr>
                <w:rFonts w:asciiTheme="minorHAnsi" w:hAnsiTheme="minorHAnsi"/>
                <w:b/>
                <w:sz w:val="20"/>
                <w:szCs w:val="20"/>
              </w:rPr>
            </w:pPr>
            <w:r>
              <w:rPr>
                <w:rFonts w:asciiTheme="minorHAnsi" w:hAnsiTheme="minorHAnsi"/>
                <w:b/>
                <w:sz w:val="20"/>
                <w:szCs w:val="20"/>
              </w:rPr>
              <w:t>RP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rsidR="003021B8" w:rsidRDefault="003021B8">
            <w:pPr>
              <w:jc w:val="center"/>
              <w:rPr>
                <w:rFonts w:asciiTheme="minorHAnsi" w:hAnsiTheme="minorHAnsi"/>
                <w:b/>
                <w:sz w:val="20"/>
                <w:szCs w:val="20"/>
              </w:rPr>
            </w:pPr>
            <w:r>
              <w:rPr>
                <w:rFonts w:asciiTheme="minorHAnsi" w:hAnsiTheme="minorHAnsi"/>
                <w:b/>
                <w:sz w:val="20"/>
                <w:szCs w:val="20"/>
              </w:rPr>
              <w:t>RSG</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rsidR="003021B8" w:rsidRDefault="003021B8">
            <w:pPr>
              <w:jc w:val="center"/>
              <w:rPr>
                <w:rFonts w:asciiTheme="minorHAnsi" w:hAnsiTheme="minorHAnsi"/>
                <w:b/>
                <w:sz w:val="20"/>
                <w:szCs w:val="20"/>
              </w:rPr>
            </w:pPr>
            <w:r>
              <w:rPr>
                <w:rFonts w:asciiTheme="minorHAnsi" w:hAnsiTheme="minorHAnsi"/>
                <w:b/>
                <w:sz w:val="20"/>
                <w:szCs w:val="20"/>
              </w:rPr>
              <w:t>TO</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rsidR="003021B8" w:rsidRDefault="003021B8">
            <w:pPr>
              <w:jc w:val="center"/>
              <w:rPr>
                <w:rFonts w:asciiTheme="minorHAnsi" w:hAnsiTheme="minorHAnsi"/>
                <w:b/>
                <w:sz w:val="20"/>
                <w:szCs w:val="20"/>
              </w:rPr>
            </w:pPr>
            <w:r>
              <w:rPr>
                <w:rFonts w:asciiTheme="minorHAnsi" w:hAnsiTheme="minorHAnsi"/>
                <w:b/>
                <w:sz w:val="20"/>
                <w:szCs w:val="20"/>
              </w:rPr>
              <w:t>TOP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rsidR="003021B8" w:rsidRDefault="003021B8">
            <w:pPr>
              <w:jc w:val="center"/>
              <w:rPr>
                <w:rFonts w:asciiTheme="minorHAnsi" w:hAnsiTheme="minorHAnsi"/>
                <w:b/>
                <w:sz w:val="20"/>
                <w:szCs w:val="20"/>
              </w:rPr>
            </w:pPr>
            <w:r>
              <w:rPr>
                <w:rFonts w:asciiTheme="minorHAnsi" w:hAnsiTheme="minorHAnsi"/>
                <w:b/>
                <w:sz w:val="20"/>
                <w:szCs w:val="20"/>
              </w:rPr>
              <w:t>TP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rsidR="003021B8" w:rsidRDefault="003021B8">
            <w:pPr>
              <w:jc w:val="center"/>
              <w:rPr>
                <w:rFonts w:asciiTheme="minorHAnsi" w:hAnsiTheme="minorHAnsi"/>
                <w:b/>
                <w:sz w:val="20"/>
                <w:szCs w:val="20"/>
              </w:rPr>
            </w:pPr>
            <w:r>
              <w:rPr>
                <w:rFonts w:asciiTheme="minorHAnsi" w:hAnsiTheme="minorHAnsi"/>
                <w:b/>
                <w:sz w:val="20"/>
                <w:szCs w:val="20"/>
              </w:rPr>
              <w:t>TSP</w:t>
            </w:r>
          </w:p>
        </w:tc>
      </w:tr>
      <w:tr w:rsidR="003021B8" w:rsidTr="003021B8">
        <w:tc>
          <w:tcPr>
            <w:tcW w:w="605" w:type="dxa"/>
            <w:tcBorders>
              <w:top w:val="single" w:sz="4" w:space="0" w:color="auto"/>
              <w:left w:val="single" w:sz="4" w:space="0" w:color="auto"/>
              <w:bottom w:val="single" w:sz="4" w:space="0" w:color="auto"/>
              <w:right w:val="single" w:sz="4" w:space="0" w:color="auto"/>
            </w:tcBorders>
            <w:shd w:val="clear" w:color="auto" w:fill="DCDCFF"/>
            <w:hideMark/>
          </w:tcPr>
          <w:p w:rsidR="003021B8" w:rsidRDefault="003021B8">
            <w:pPr>
              <w:rPr>
                <w:rFonts w:asciiTheme="minorHAnsi" w:hAnsiTheme="minorHAnsi"/>
                <w:b/>
                <w:sz w:val="20"/>
                <w:szCs w:val="20"/>
              </w:rPr>
            </w:pPr>
            <w:r>
              <w:rPr>
                <w:rFonts w:asciiTheme="minorHAnsi" w:hAnsiTheme="minorHAnsi"/>
                <w:b/>
                <w:sz w:val="20"/>
                <w:szCs w:val="20"/>
              </w:rPr>
              <w:t>R1</w:t>
            </w:r>
          </w:p>
        </w:tc>
        <w:tc>
          <w:tcPr>
            <w:tcW w:w="605" w:type="dxa"/>
            <w:tcBorders>
              <w:top w:val="single" w:sz="4" w:space="0" w:color="auto"/>
              <w:left w:val="single" w:sz="4" w:space="0" w:color="auto"/>
              <w:bottom w:val="single" w:sz="4" w:space="0" w:color="auto"/>
              <w:right w:val="single" w:sz="4" w:space="0" w:color="auto"/>
            </w:tcBorders>
            <w:shd w:val="clear" w:color="auto" w:fill="DCDCFF"/>
          </w:tcPr>
          <w:p w:rsidR="003021B8" w:rsidRDefault="003021B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rsidR="003021B8" w:rsidRDefault="003021B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rsidR="003021B8" w:rsidRDefault="003021B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rsidR="003021B8" w:rsidRDefault="00BC7D6E">
            <w:pPr>
              <w:jc w:val="center"/>
              <w:rPr>
                <w:rFonts w:asciiTheme="minorHAnsi" w:hAnsiTheme="minorHAnsi"/>
                <w:sz w:val="20"/>
                <w:szCs w:val="20"/>
              </w:rPr>
            </w:pPr>
            <w:r>
              <w:rPr>
                <w:rFonts w:asciiTheme="minorHAnsi" w:hAnsiTheme="minorHAnsi"/>
                <w:sz w:val="20"/>
                <w:szCs w:val="20"/>
              </w:rPr>
              <w:t>X</w:t>
            </w:r>
          </w:p>
        </w:tc>
        <w:tc>
          <w:tcPr>
            <w:tcW w:w="605" w:type="dxa"/>
            <w:tcBorders>
              <w:top w:val="single" w:sz="4" w:space="0" w:color="auto"/>
              <w:left w:val="single" w:sz="4" w:space="0" w:color="auto"/>
              <w:bottom w:val="single" w:sz="4" w:space="0" w:color="auto"/>
              <w:right w:val="single" w:sz="4" w:space="0" w:color="auto"/>
            </w:tcBorders>
            <w:shd w:val="clear" w:color="auto" w:fill="DCDCFF"/>
          </w:tcPr>
          <w:p w:rsidR="003021B8" w:rsidRDefault="003021B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rsidR="003021B8" w:rsidRDefault="003021B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rsidR="003021B8" w:rsidRDefault="003021B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rsidR="003021B8" w:rsidRDefault="003021B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rsidR="003021B8" w:rsidRDefault="003021B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rsidR="003021B8" w:rsidRDefault="003021B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rsidR="003021B8" w:rsidRDefault="003021B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rsidR="003021B8" w:rsidRDefault="003021B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rsidR="003021B8" w:rsidRDefault="00BC7D6E">
            <w:pPr>
              <w:jc w:val="center"/>
              <w:rPr>
                <w:rFonts w:asciiTheme="minorHAnsi" w:hAnsiTheme="minorHAnsi"/>
                <w:sz w:val="20"/>
                <w:szCs w:val="20"/>
              </w:rPr>
            </w:pPr>
            <w:r>
              <w:rPr>
                <w:rFonts w:asciiTheme="minorHAnsi" w:hAnsiTheme="minorHAnsi"/>
                <w:sz w:val="20"/>
                <w:szCs w:val="20"/>
              </w:rPr>
              <w:t>X</w:t>
            </w:r>
          </w:p>
        </w:tc>
        <w:tc>
          <w:tcPr>
            <w:tcW w:w="605" w:type="dxa"/>
            <w:tcBorders>
              <w:top w:val="single" w:sz="4" w:space="0" w:color="auto"/>
              <w:left w:val="single" w:sz="4" w:space="0" w:color="auto"/>
              <w:bottom w:val="single" w:sz="4" w:space="0" w:color="auto"/>
              <w:right w:val="single" w:sz="4" w:space="0" w:color="auto"/>
            </w:tcBorders>
            <w:shd w:val="clear" w:color="auto" w:fill="DCDCFF"/>
          </w:tcPr>
          <w:p w:rsidR="003021B8" w:rsidRDefault="003021B8">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rsidR="003021B8" w:rsidRDefault="003021B8">
            <w:pPr>
              <w:jc w:val="center"/>
              <w:rPr>
                <w:rFonts w:asciiTheme="minorHAnsi" w:hAnsiTheme="minorHAnsi"/>
                <w:sz w:val="20"/>
                <w:szCs w:val="20"/>
              </w:rPr>
            </w:pPr>
          </w:p>
        </w:tc>
      </w:tr>
    </w:tbl>
    <w:p w:rsidR="003021B8" w:rsidRDefault="003021B8" w:rsidP="003021B8">
      <w:pPr>
        <w:autoSpaceDE/>
        <w:adjustRightInd/>
        <w:rPr>
          <w:rFonts w:asciiTheme="minorHAnsi" w:hAnsiTheme="minorHAnsi"/>
          <w:b/>
          <w:sz w:val="24"/>
          <w:szCs w:val="24"/>
          <w:u w:val="single"/>
        </w:rPr>
      </w:pPr>
    </w:p>
    <w:p w:rsidR="003021B8" w:rsidRDefault="003021B8" w:rsidP="003021B8">
      <w:pPr>
        <w:autoSpaceDE/>
        <w:adjustRightInd/>
        <w:rPr>
          <w:rFonts w:asciiTheme="minorHAnsi" w:hAnsiTheme="minorHAnsi"/>
          <w:b/>
          <w:u w:val="single"/>
        </w:rPr>
      </w:pPr>
      <w:r>
        <w:rPr>
          <w:rFonts w:asciiTheme="minorHAnsi" w:hAnsiTheme="minorHAnsi"/>
          <w:b/>
          <w:u w:val="single"/>
        </w:rPr>
        <w:t>Legend:</w:t>
      </w:r>
    </w:p>
    <w:tbl>
      <w:tblPr>
        <w:tblStyle w:val="TableGrid"/>
        <w:tblW w:w="0" w:type="auto"/>
        <w:tblLook w:val="04A0" w:firstRow="1" w:lastRow="0" w:firstColumn="1" w:lastColumn="0" w:noHBand="0" w:noVBand="1"/>
      </w:tblPr>
      <w:tblGrid>
        <w:gridCol w:w="4158"/>
        <w:gridCol w:w="3150"/>
      </w:tblGrid>
      <w:tr w:rsidR="003021B8" w:rsidTr="003021B8">
        <w:tc>
          <w:tcPr>
            <w:tcW w:w="4158" w:type="dxa"/>
            <w:tcBorders>
              <w:top w:val="single" w:sz="4" w:space="0" w:color="auto"/>
              <w:left w:val="single" w:sz="4" w:space="0" w:color="auto"/>
              <w:bottom w:val="single" w:sz="4" w:space="0" w:color="auto"/>
              <w:right w:val="single" w:sz="4" w:space="0" w:color="auto"/>
            </w:tcBorders>
            <w:shd w:val="clear" w:color="auto" w:fill="DCDCFF"/>
            <w:hideMark/>
          </w:tcPr>
          <w:p w:rsidR="003021B8" w:rsidRDefault="003021B8">
            <w:pPr>
              <w:autoSpaceDE/>
              <w:adjustRightInd/>
              <w:rPr>
                <w:rFonts w:asciiTheme="minorHAnsi" w:hAnsiTheme="minorHAnsi"/>
                <w:color w:val="auto"/>
              </w:rPr>
            </w:pPr>
            <w:r>
              <w:rPr>
                <w:rFonts w:asciiTheme="minorHAnsi" w:hAnsiTheme="minorHAnsi"/>
                <w:color w:val="auto"/>
              </w:rPr>
              <w:t>Text with blue background:</w:t>
            </w:r>
          </w:p>
        </w:tc>
        <w:tc>
          <w:tcPr>
            <w:tcW w:w="3150" w:type="dxa"/>
            <w:tcBorders>
              <w:top w:val="single" w:sz="4" w:space="0" w:color="auto"/>
              <w:left w:val="single" w:sz="4" w:space="0" w:color="auto"/>
              <w:bottom w:val="single" w:sz="4" w:space="0" w:color="auto"/>
              <w:right w:val="single" w:sz="4" w:space="0" w:color="auto"/>
            </w:tcBorders>
            <w:shd w:val="clear" w:color="auto" w:fill="DCDCFF"/>
            <w:hideMark/>
          </w:tcPr>
          <w:p w:rsidR="003021B8" w:rsidRDefault="003021B8">
            <w:pPr>
              <w:autoSpaceDE/>
              <w:adjustRightInd/>
              <w:rPr>
                <w:rFonts w:asciiTheme="minorHAnsi" w:hAnsiTheme="minorHAnsi"/>
                <w:color w:val="auto"/>
              </w:rPr>
            </w:pPr>
            <w:r>
              <w:rPr>
                <w:rFonts w:asciiTheme="minorHAnsi" w:hAnsiTheme="minorHAnsi"/>
                <w:color w:val="auto"/>
              </w:rPr>
              <w:t>Fixed text – do not edit</w:t>
            </w:r>
          </w:p>
        </w:tc>
      </w:tr>
      <w:tr w:rsidR="003021B8" w:rsidTr="003021B8">
        <w:tc>
          <w:tcPr>
            <w:tcW w:w="4158" w:type="dxa"/>
            <w:tcBorders>
              <w:top w:val="single" w:sz="4" w:space="0" w:color="auto"/>
              <w:left w:val="single" w:sz="4" w:space="0" w:color="auto"/>
              <w:bottom w:val="single" w:sz="4" w:space="0" w:color="auto"/>
              <w:right w:val="single" w:sz="4" w:space="0" w:color="auto"/>
            </w:tcBorders>
            <w:shd w:val="clear" w:color="auto" w:fill="CDFFCD"/>
            <w:hideMark/>
          </w:tcPr>
          <w:p w:rsidR="003021B8" w:rsidRDefault="003021B8">
            <w:pPr>
              <w:autoSpaceDE/>
              <w:adjustRightInd/>
              <w:rPr>
                <w:rFonts w:asciiTheme="minorHAnsi" w:hAnsiTheme="minorHAnsi"/>
                <w:color w:val="auto"/>
              </w:rPr>
            </w:pPr>
            <w:r>
              <w:rPr>
                <w:rFonts w:asciiTheme="minorHAnsi" w:hAnsiTheme="minorHAnsi"/>
                <w:color w:val="auto"/>
              </w:rPr>
              <w:t>Text entry area with Green background:</w:t>
            </w:r>
          </w:p>
        </w:tc>
        <w:tc>
          <w:tcPr>
            <w:tcW w:w="3150" w:type="dxa"/>
            <w:tcBorders>
              <w:top w:val="single" w:sz="4" w:space="0" w:color="auto"/>
              <w:left w:val="single" w:sz="4" w:space="0" w:color="auto"/>
              <w:bottom w:val="single" w:sz="4" w:space="0" w:color="auto"/>
              <w:right w:val="single" w:sz="4" w:space="0" w:color="auto"/>
            </w:tcBorders>
            <w:shd w:val="clear" w:color="auto" w:fill="CDFFCD"/>
            <w:hideMark/>
          </w:tcPr>
          <w:p w:rsidR="003021B8" w:rsidRDefault="003021B8">
            <w:pPr>
              <w:autoSpaceDE/>
              <w:adjustRightInd/>
              <w:rPr>
                <w:rFonts w:asciiTheme="minorHAnsi" w:hAnsiTheme="minorHAnsi"/>
                <w:color w:val="auto"/>
              </w:rPr>
            </w:pPr>
            <w:r>
              <w:rPr>
                <w:rFonts w:asciiTheme="minorHAnsi" w:hAnsiTheme="minorHAnsi"/>
                <w:color w:val="auto"/>
              </w:rPr>
              <w:t>Entity-supplied information</w:t>
            </w:r>
          </w:p>
        </w:tc>
      </w:tr>
      <w:tr w:rsidR="003021B8" w:rsidTr="003021B8">
        <w:tc>
          <w:tcPr>
            <w:tcW w:w="4158" w:type="dxa"/>
            <w:tcBorders>
              <w:top w:val="single" w:sz="4" w:space="0" w:color="auto"/>
              <w:left w:val="single" w:sz="4" w:space="0" w:color="auto"/>
              <w:bottom w:val="single" w:sz="4" w:space="0" w:color="auto"/>
              <w:right w:val="single" w:sz="4" w:space="0" w:color="auto"/>
            </w:tcBorders>
            <w:hideMark/>
          </w:tcPr>
          <w:p w:rsidR="003021B8" w:rsidRDefault="003021B8">
            <w:pPr>
              <w:autoSpaceDE/>
              <w:adjustRightInd/>
              <w:rPr>
                <w:rFonts w:asciiTheme="minorHAnsi" w:hAnsiTheme="minorHAnsi"/>
                <w:color w:val="auto"/>
              </w:rPr>
            </w:pPr>
            <w:r>
              <w:rPr>
                <w:rFonts w:asciiTheme="minorHAnsi" w:hAnsiTheme="minorHAnsi"/>
                <w:color w:val="auto"/>
              </w:rPr>
              <w:t>Text entry area with white background:</w:t>
            </w:r>
          </w:p>
        </w:tc>
        <w:tc>
          <w:tcPr>
            <w:tcW w:w="3150" w:type="dxa"/>
            <w:tcBorders>
              <w:top w:val="single" w:sz="4" w:space="0" w:color="auto"/>
              <w:left w:val="single" w:sz="4" w:space="0" w:color="auto"/>
              <w:bottom w:val="single" w:sz="4" w:space="0" w:color="auto"/>
              <w:right w:val="single" w:sz="4" w:space="0" w:color="auto"/>
            </w:tcBorders>
            <w:hideMark/>
          </w:tcPr>
          <w:p w:rsidR="003021B8" w:rsidRDefault="003021B8">
            <w:pPr>
              <w:autoSpaceDE/>
              <w:adjustRightInd/>
              <w:rPr>
                <w:rFonts w:asciiTheme="minorHAnsi" w:hAnsiTheme="minorHAnsi"/>
                <w:color w:val="auto"/>
              </w:rPr>
            </w:pPr>
            <w:r>
              <w:rPr>
                <w:rFonts w:asciiTheme="minorHAnsi" w:hAnsiTheme="minorHAnsi"/>
                <w:color w:val="auto"/>
              </w:rPr>
              <w:t>Auditor-supplied information</w:t>
            </w:r>
          </w:p>
        </w:tc>
      </w:tr>
    </w:tbl>
    <w:p w:rsidR="003021B8" w:rsidRDefault="003021B8" w:rsidP="003315B3">
      <w:pPr>
        <w:pStyle w:val="NoSpacing"/>
        <w:ind w:left="-180"/>
        <w:rPr>
          <w:rFonts w:asciiTheme="minorHAnsi" w:hAnsiTheme="minorHAnsi"/>
          <w:b/>
          <w:sz w:val="32"/>
        </w:rPr>
      </w:pPr>
    </w:p>
    <w:p w:rsidR="003021B8" w:rsidRDefault="003021B8" w:rsidP="003315B3">
      <w:pPr>
        <w:pStyle w:val="NoSpacing"/>
        <w:ind w:left="-180"/>
        <w:rPr>
          <w:rFonts w:asciiTheme="minorHAnsi" w:hAnsiTheme="minorHAnsi"/>
          <w:b/>
          <w:sz w:val="32"/>
        </w:rPr>
      </w:pPr>
    </w:p>
    <w:p w:rsidR="003021B8" w:rsidRDefault="003021B8" w:rsidP="003315B3">
      <w:pPr>
        <w:pStyle w:val="NoSpacing"/>
        <w:ind w:left="-180"/>
        <w:rPr>
          <w:rFonts w:asciiTheme="minorHAnsi" w:hAnsiTheme="minorHAnsi"/>
          <w:b/>
          <w:sz w:val="32"/>
        </w:rPr>
      </w:pPr>
    </w:p>
    <w:p w:rsidR="003021B8" w:rsidRDefault="003021B8" w:rsidP="003315B3">
      <w:pPr>
        <w:pStyle w:val="NoSpacing"/>
        <w:ind w:left="-180"/>
        <w:rPr>
          <w:rFonts w:asciiTheme="minorHAnsi" w:hAnsiTheme="minorHAnsi"/>
          <w:b/>
          <w:sz w:val="32"/>
        </w:rPr>
      </w:pPr>
    </w:p>
    <w:p w:rsidR="003021B8" w:rsidRDefault="003021B8" w:rsidP="003315B3">
      <w:pPr>
        <w:pStyle w:val="NoSpacing"/>
        <w:ind w:left="-180"/>
        <w:rPr>
          <w:rFonts w:asciiTheme="minorHAnsi" w:hAnsiTheme="minorHAnsi"/>
          <w:b/>
          <w:sz w:val="32"/>
        </w:rPr>
      </w:pPr>
    </w:p>
    <w:p w:rsidR="003021B8" w:rsidRDefault="003021B8" w:rsidP="003315B3">
      <w:pPr>
        <w:pStyle w:val="NoSpacing"/>
        <w:ind w:left="-180"/>
        <w:rPr>
          <w:rFonts w:asciiTheme="minorHAnsi" w:hAnsiTheme="minorHAnsi"/>
          <w:b/>
          <w:sz w:val="32"/>
        </w:rPr>
      </w:pPr>
    </w:p>
    <w:p w:rsidR="00BC7D6E" w:rsidRDefault="00BC7D6E" w:rsidP="00BC7D6E">
      <w:pPr>
        <w:pStyle w:val="NoSpacing"/>
        <w:rPr>
          <w:rFonts w:asciiTheme="minorHAnsi" w:hAnsiTheme="minorHAnsi"/>
          <w:b/>
          <w:sz w:val="32"/>
        </w:rPr>
      </w:pPr>
    </w:p>
    <w:p w:rsidR="00A07E6C" w:rsidRDefault="00A07E6C" w:rsidP="00BC7D6E">
      <w:pPr>
        <w:pStyle w:val="NoSpacing"/>
        <w:rPr>
          <w:rFonts w:asciiTheme="minorHAnsi" w:hAnsiTheme="minorHAnsi"/>
          <w:b/>
          <w:sz w:val="32"/>
        </w:rPr>
      </w:pPr>
    </w:p>
    <w:p w:rsidR="00F7585F" w:rsidRPr="003315B3" w:rsidRDefault="00F7585F" w:rsidP="005F7D9C">
      <w:pPr>
        <w:pStyle w:val="NoSpacing"/>
        <w:keepNext/>
        <w:rPr>
          <w:rFonts w:asciiTheme="minorHAnsi" w:hAnsiTheme="minorHAnsi"/>
          <w:b/>
          <w:color w:val="003366"/>
          <w:sz w:val="32"/>
        </w:rPr>
      </w:pPr>
      <w:r w:rsidRPr="003315B3">
        <w:rPr>
          <w:rFonts w:asciiTheme="minorHAnsi" w:hAnsiTheme="minorHAnsi"/>
          <w:b/>
          <w:sz w:val="32"/>
        </w:rPr>
        <w:lastRenderedPageBreak/>
        <w:t>Findings Table:</w:t>
      </w:r>
    </w:p>
    <w:tbl>
      <w:tblPr>
        <w:tblW w:w="11112" w:type="dxa"/>
        <w:jc w:val="center"/>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70"/>
        <w:gridCol w:w="5940"/>
        <w:gridCol w:w="2406"/>
      </w:tblGrid>
      <w:tr w:rsidR="00F7585F" w:rsidRPr="00F7585F" w:rsidTr="001E5787">
        <w:trPr>
          <w:trHeight w:val="510"/>
          <w:jc w:val="center"/>
        </w:trPr>
        <w:tc>
          <w:tcPr>
            <w:tcW w:w="696" w:type="dxa"/>
            <w:shd w:val="clear" w:color="auto" w:fill="DCDCFF"/>
            <w:vAlign w:val="center"/>
            <w:hideMark/>
          </w:tcPr>
          <w:p w:rsidR="00F7585F" w:rsidRPr="00F7585F" w:rsidRDefault="00F7585F" w:rsidP="003315B3">
            <w:pPr>
              <w:widowControl w:val="0"/>
              <w:tabs>
                <w:tab w:val="left" w:pos="900"/>
                <w:tab w:val="left" w:pos="6360"/>
              </w:tabs>
              <w:spacing w:line="294" w:lineRule="exact"/>
              <w:jc w:val="center"/>
              <w:rPr>
                <w:rFonts w:asciiTheme="minorHAnsi" w:hAnsiTheme="minorHAnsi" w:cstheme="minorHAnsi"/>
                <w:b/>
                <w:bCs/>
                <w:sz w:val="24"/>
                <w:szCs w:val="24"/>
              </w:rPr>
            </w:pPr>
            <w:r w:rsidRPr="00F7585F">
              <w:rPr>
                <w:rFonts w:asciiTheme="minorHAnsi" w:hAnsiTheme="minorHAnsi" w:cstheme="minorHAnsi"/>
                <w:b/>
                <w:bCs/>
                <w:sz w:val="24"/>
                <w:szCs w:val="24"/>
              </w:rPr>
              <w:t>Req.</w:t>
            </w:r>
          </w:p>
        </w:tc>
        <w:tc>
          <w:tcPr>
            <w:tcW w:w="2070" w:type="dxa"/>
            <w:shd w:val="clear" w:color="auto" w:fill="DCDCFF"/>
            <w:vAlign w:val="center"/>
            <w:hideMark/>
          </w:tcPr>
          <w:p w:rsidR="00F7585F" w:rsidRPr="00F7585F" w:rsidRDefault="00F7585F" w:rsidP="003315B3">
            <w:pPr>
              <w:widowControl w:val="0"/>
              <w:tabs>
                <w:tab w:val="left" w:pos="900"/>
                <w:tab w:val="left" w:pos="6360"/>
              </w:tabs>
              <w:spacing w:line="294" w:lineRule="exact"/>
              <w:jc w:val="center"/>
              <w:rPr>
                <w:rFonts w:asciiTheme="minorHAnsi" w:hAnsiTheme="minorHAnsi" w:cstheme="minorHAnsi"/>
                <w:b/>
                <w:bCs/>
                <w:sz w:val="24"/>
                <w:szCs w:val="24"/>
              </w:rPr>
            </w:pPr>
            <w:r w:rsidRPr="00F7585F">
              <w:rPr>
                <w:rFonts w:asciiTheme="minorHAnsi" w:hAnsiTheme="minorHAnsi" w:cstheme="minorHAnsi"/>
                <w:b/>
                <w:bCs/>
                <w:sz w:val="24"/>
                <w:szCs w:val="24"/>
              </w:rPr>
              <w:t>Finding</w:t>
            </w:r>
          </w:p>
        </w:tc>
        <w:tc>
          <w:tcPr>
            <w:tcW w:w="5940" w:type="dxa"/>
            <w:shd w:val="clear" w:color="auto" w:fill="DCDCFF"/>
            <w:vAlign w:val="center"/>
            <w:hideMark/>
          </w:tcPr>
          <w:p w:rsidR="00F7585F" w:rsidRPr="00F7585F" w:rsidRDefault="00F7585F" w:rsidP="003315B3">
            <w:pPr>
              <w:widowControl w:val="0"/>
              <w:tabs>
                <w:tab w:val="left" w:pos="900"/>
                <w:tab w:val="left" w:pos="6360"/>
              </w:tabs>
              <w:spacing w:line="294" w:lineRule="exact"/>
              <w:jc w:val="center"/>
              <w:rPr>
                <w:rFonts w:asciiTheme="minorHAnsi" w:hAnsiTheme="minorHAnsi" w:cstheme="minorHAnsi"/>
                <w:b/>
                <w:bCs/>
                <w:sz w:val="24"/>
                <w:szCs w:val="24"/>
              </w:rPr>
            </w:pPr>
            <w:r w:rsidRPr="00F7585F">
              <w:rPr>
                <w:rFonts w:asciiTheme="minorHAnsi" w:hAnsiTheme="minorHAnsi" w:cstheme="minorHAnsi"/>
                <w:b/>
                <w:bCs/>
                <w:sz w:val="24"/>
                <w:szCs w:val="24"/>
              </w:rPr>
              <w:t>Summary &amp; Documentation</w:t>
            </w:r>
          </w:p>
        </w:tc>
        <w:tc>
          <w:tcPr>
            <w:tcW w:w="2406" w:type="dxa"/>
            <w:shd w:val="clear" w:color="auto" w:fill="DCDCFF"/>
            <w:vAlign w:val="center"/>
            <w:hideMark/>
          </w:tcPr>
          <w:p w:rsidR="00F7585F" w:rsidRPr="00F7585F" w:rsidRDefault="00F7585F" w:rsidP="003315B3">
            <w:pPr>
              <w:widowControl w:val="0"/>
              <w:tabs>
                <w:tab w:val="left" w:pos="900"/>
                <w:tab w:val="left" w:pos="6360"/>
              </w:tabs>
              <w:spacing w:line="294" w:lineRule="exact"/>
              <w:jc w:val="center"/>
              <w:rPr>
                <w:rFonts w:asciiTheme="minorHAnsi" w:hAnsiTheme="minorHAnsi" w:cstheme="minorHAnsi"/>
                <w:b/>
                <w:bCs/>
                <w:sz w:val="24"/>
                <w:szCs w:val="24"/>
              </w:rPr>
            </w:pPr>
            <w:r w:rsidRPr="00F7585F">
              <w:rPr>
                <w:rFonts w:asciiTheme="minorHAnsi" w:hAnsiTheme="minorHAnsi" w:cstheme="minorHAnsi"/>
                <w:b/>
                <w:bCs/>
                <w:sz w:val="24"/>
                <w:szCs w:val="24"/>
              </w:rPr>
              <w:t>Functions Monitored</w:t>
            </w:r>
          </w:p>
        </w:tc>
      </w:tr>
      <w:tr w:rsidR="00A07E6C" w:rsidRPr="00F7585F" w:rsidTr="001E5787">
        <w:trPr>
          <w:trHeight w:val="503"/>
          <w:jc w:val="center"/>
        </w:trPr>
        <w:tc>
          <w:tcPr>
            <w:tcW w:w="696" w:type="dxa"/>
            <w:shd w:val="clear" w:color="auto" w:fill="DCDCFF"/>
            <w:vAlign w:val="center"/>
            <w:hideMark/>
          </w:tcPr>
          <w:p w:rsidR="00A07E6C" w:rsidRPr="00F7585F" w:rsidRDefault="00580165" w:rsidP="003315B3">
            <w:pPr>
              <w:widowControl w:val="0"/>
              <w:tabs>
                <w:tab w:val="left" w:pos="900"/>
                <w:tab w:val="left" w:pos="6360"/>
              </w:tabs>
              <w:spacing w:line="294" w:lineRule="exact"/>
              <w:jc w:val="center"/>
              <w:rPr>
                <w:rFonts w:asciiTheme="minorHAnsi" w:hAnsiTheme="minorHAnsi" w:cstheme="minorHAnsi"/>
                <w:b/>
                <w:bCs/>
                <w:sz w:val="24"/>
                <w:szCs w:val="24"/>
              </w:rPr>
            </w:pPr>
            <w:hyperlink w:anchor="R1_Summary" w:history="1">
              <w:r w:rsidR="00A07E6C" w:rsidRPr="00F7585F">
                <w:rPr>
                  <w:rStyle w:val="Hyperlink"/>
                  <w:rFonts w:asciiTheme="minorHAnsi" w:hAnsiTheme="minorHAnsi" w:cstheme="minorHAnsi"/>
                  <w:b/>
                  <w:bCs/>
                  <w:color w:val="auto"/>
                  <w:sz w:val="24"/>
                  <w:szCs w:val="24"/>
                </w:rPr>
                <w:t>R</w:t>
              </w:r>
              <w:bookmarkStart w:id="0" w:name="R1_Finding"/>
              <w:bookmarkEnd w:id="0"/>
              <w:r w:rsidR="00A07E6C" w:rsidRPr="00F7585F">
                <w:rPr>
                  <w:rStyle w:val="Hyperlink"/>
                  <w:rFonts w:asciiTheme="minorHAnsi" w:hAnsiTheme="minorHAnsi" w:cstheme="minorHAnsi"/>
                  <w:b/>
                  <w:bCs/>
                  <w:color w:val="auto"/>
                  <w:sz w:val="24"/>
                  <w:szCs w:val="24"/>
                </w:rPr>
                <w:t>1.</w:t>
              </w:r>
            </w:hyperlink>
          </w:p>
        </w:tc>
        <w:tc>
          <w:tcPr>
            <w:tcW w:w="2070" w:type="dxa"/>
            <w:shd w:val="clear" w:color="auto" w:fill="auto"/>
            <w:noWrap/>
            <w:vAlign w:val="center"/>
          </w:tcPr>
          <w:p w:rsidR="00A07E6C" w:rsidRPr="00F7585F" w:rsidRDefault="00A07E6C" w:rsidP="003315B3">
            <w:pPr>
              <w:autoSpaceDE/>
              <w:autoSpaceDN/>
              <w:adjustRightInd/>
              <w:jc w:val="center"/>
              <w:rPr>
                <w:rFonts w:asciiTheme="minorHAnsi" w:hAnsiTheme="minorHAnsi" w:cstheme="minorHAnsi"/>
                <w:sz w:val="24"/>
                <w:szCs w:val="24"/>
              </w:rPr>
            </w:pPr>
          </w:p>
        </w:tc>
        <w:tc>
          <w:tcPr>
            <w:tcW w:w="5940" w:type="dxa"/>
            <w:shd w:val="clear" w:color="auto" w:fill="auto"/>
            <w:vAlign w:val="center"/>
          </w:tcPr>
          <w:p w:rsidR="00A07E6C" w:rsidRPr="00F7585F" w:rsidRDefault="00A07E6C" w:rsidP="003315B3">
            <w:pPr>
              <w:autoSpaceDE/>
              <w:autoSpaceDN/>
              <w:adjustRightInd/>
              <w:jc w:val="center"/>
              <w:rPr>
                <w:rFonts w:asciiTheme="minorHAnsi" w:hAnsiTheme="minorHAnsi" w:cstheme="minorHAnsi"/>
                <w:sz w:val="24"/>
                <w:szCs w:val="24"/>
              </w:rPr>
            </w:pPr>
          </w:p>
        </w:tc>
        <w:tc>
          <w:tcPr>
            <w:tcW w:w="2406" w:type="dxa"/>
            <w:shd w:val="clear" w:color="auto" w:fill="auto"/>
            <w:vAlign w:val="center"/>
            <w:hideMark/>
          </w:tcPr>
          <w:p w:rsidR="00A07E6C" w:rsidRPr="00F7585F" w:rsidRDefault="00A07E6C" w:rsidP="003315B3">
            <w:pPr>
              <w:jc w:val="center"/>
              <w:rPr>
                <w:rFonts w:asciiTheme="minorHAnsi" w:hAnsiTheme="minorHAnsi" w:cstheme="minorHAnsi"/>
                <w:sz w:val="24"/>
                <w:szCs w:val="24"/>
              </w:rPr>
            </w:pPr>
            <w:r w:rsidRPr="00F7585F">
              <w:rPr>
                <w:rFonts w:asciiTheme="minorHAnsi" w:hAnsiTheme="minorHAnsi" w:cstheme="minorHAnsi"/>
                <w:sz w:val="24"/>
                <w:szCs w:val="24"/>
              </w:rPr>
              <w:t xml:space="preserve">TOP, GOP </w:t>
            </w:r>
          </w:p>
        </w:tc>
      </w:tr>
    </w:tbl>
    <w:p w:rsidR="00F7585F" w:rsidRPr="00F7585F" w:rsidRDefault="00F7585F" w:rsidP="00F7585F">
      <w:pPr>
        <w:rPr>
          <w:rFonts w:asciiTheme="minorHAnsi" w:hAnsiTheme="minorHAnsi" w:cstheme="minorHAnsi"/>
          <w:sz w:val="24"/>
          <w:szCs w:val="24"/>
        </w:rPr>
      </w:pPr>
      <w:bookmarkStart w:id="1" w:name="_Toc330463552"/>
    </w:p>
    <w:tbl>
      <w:tblPr>
        <w:tblW w:w="11036"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
        <w:gridCol w:w="9995"/>
      </w:tblGrid>
      <w:tr w:rsidR="00F7585F" w:rsidRPr="00F7585F" w:rsidTr="00BC7D6E">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DCDCFF"/>
            <w:hideMark/>
          </w:tcPr>
          <w:p w:rsidR="00F7585F" w:rsidRPr="00F7585F" w:rsidRDefault="00F7585F" w:rsidP="00BC7D6E">
            <w:pPr>
              <w:widowControl w:val="0"/>
              <w:tabs>
                <w:tab w:val="left" w:pos="900"/>
                <w:tab w:val="left" w:pos="6360"/>
              </w:tabs>
              <w:spacing w:line="294" w:lineRule="exact"/>
              <w:jc w:val="center"/>
              <w:rPr>
                <w:rFonts w:asciiTheme="minorHAnsi" w:hAnsiTheme="minorHAnsi" w:cstheme="minorHAnsi"/>
                <w:b/>
                <w:bCs/>
                <w:sz w:val="24"/>
                <w:szCs w:val="24"/>
              </w:rPr>
            </w:pPr>
            <w:r w:rsidRPr="00F7585F">
              <w:rPr>
                <w:rFonts w:asciiTheme="minorHAnsi" w:hAnsiTheme="minorHAnsi" w:cstheme="minorHAnsi"/>
                <w:b/>
                <w:bCs/>
                <w:sz w:val="24"/>
                <w:szCs w:val="24"/>
              </w:rPr>
              <w:t>Req.</w:t>
            </w:r>
          </w:p>
        </w:tc>
        <w:tc>
          <w:tcPr>
            <w:tcW w:w="9995" w:type="dxa"/>
            <w:tcBorders>
              <w:top w:val="single" w:sz="4" w:space="0" w:color="auto"/>
              <w:left w:val="single" w:sz="4" w:space="0" w:color="auto"/>
              <w:bottom w:val="single" w:sz="4" w:space="0" w:color="auto"/>
              <w:right w:val="single" w:sz="4" w:space="0" w:color="auto"/>
            </w:tcBorders>
            <w:shd w:val="clear" w:color="auto" w:fill="DCDCFF"/>
            <w:hideMark/>
          </w:tcPr>
          <w:p w:rsidR="00F7585F" w:rsidRPr="00F7585F" w:rsidRDefault="00F7585F" w:rsidP="00BC7D6E">
            <w:pPr>
              <w:widowControl w:val="0"/>
              <w:tabs>
                <w:tab w:val="left" w:pos="900"/>
                <w:tab w:val="left" w:pos="6360"/>
              </w:tabs>
              <w:spacing w:line="294" w:lineRule="exact"/>
              <w:jc w:val="center"/>
              <w:rPr>
                <w:rFonts w:asciiTheme="minorHAnsi" w:hAnsiTheme="minorHAnsi" w:cstheme="minorHAnsi"/>
                <w:b/>
                <w:bCs/>
                <w:sz w:val="24"/>
                <w:szCs w:val="24"/>
              </w:rPr>
            </w:pPr>
            <w:r w:rsidRPr="00F7585F">
              <w:rPr>
                <w:rFonts w:asciiTheme="minorHAnsi" w:hAnsiTheme="minorHAnsi" w:cstheme="minorHAnsi"/>
                <w:b/>
                <w:bCs/>
                <w:sz w:val="24"/>
                <w:szCs w:val="24"/>
              </w:rPr>
              <w:t>Recommendations</w:t>
            </w:r>
          </w:p>
        </w:tc>
      </w:tr>
      <w:tr w:rsidR="00F7585F" w:rsidRPr="00F7585F" w:rsidTr="00BC7D6E">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auto"/>
          </w:tcPr>
          <w:p w:rsidR="00F7585F" w:rsidRPr="00F7585F" w:rsidRDefault="00F7585F" w:rsidP="003315B3">
            <w:pPr>
              <w:widowControl w:val="0"/>
              <w:tabs>
                <w:tab w:val="left" w:pos="900"/>
                <w:tab w:val="left" w:pos="6360"/>
              </w:tabs>
              <w:spacing w:line="294" w:lineRule="exact"/>
              <w:jc w:val="center"/>
              <w:rPr>
                <w:rFonts w:asciiTheme="minorHAnsi" w:hAnsiTheme="minorHAnsi" w:cstheme="minorHAnsi"/>
                <w:bCs/>
                <w:color w:val="264D74"/>
                <w:sz w:val="24"/>
                <w:szCs w:val="24"/>
              </w:rPr>
            </w:pPr>
          </w:p>
        </w:tc>
        <w:tc>
          <w:tcPr>
            <w:tcW w:w="9995" w:type="dxa"/>
            <w:tcBorders>
              <w:top w:val="single" w:sz="4" w:space="0" w:color="auto"/>
              <w:left w:val="single" w:sz="4" w:space="0" w:color="auto"/>
              <w:bottom w:val="single" w:sz="4" w:space="0" w:color="auto"/>
              <w:right w:val="single" w:sz="4" w:space="0" w:color="auto"/>
            </w:tcBorders>
            <w:shd w:val="clear" w:color="auto" w:fill="auto"/>
          </w:tcPr>
          <w:p w:rsidR="00F7585F" w:rsidRPr="00F7585F" w:rsidRDefault="00F7585F" w:rsidP="003315B3">
            <w:pPr>
              <w:widowControl w:val="0"/>
              <w:tabs>
                <w:tab w:val="left" w:pos="900"/>
                <w:tab w:val="left" w:pos="6360"/>
              </w:tabs>
              <w:spacing w:line="294" w:lineRule="exact"/>
              <w:ind w:right="-176"/>
              <w:rPr>
                <w:rFonts w:asciiTheme="minorHAnsi" w:hAnsiTheme="minorHAnsi" w:cstheme="minorHAnsi"/>
                <w:bCs/>
                <w:color w:val="264D74"/>
                <w:sz w:val="24"/>
                <w:szCs w:val="24"/>
              </w:rPr>
            </w:pPr>
          </w:p>
        </w:tc>
      </w:tr>
      <w:tr w:rsidR="00F7585F" w:rsidRPr="00F7585F" w:rsidTr="00BC7D6E">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auto"/>
          </w:tcPr>
          <w:p w:rsidR="00F7585F" w:rsidRPr="00F7585F" w:rsidRDefault="00F7585F" w:rsidP="003315B3">
            <w:pPr>
              <w:widowControl w:val="0"/>
              <w:tabs>
                <w:tab w:val="left" w:pos="900"/>
                <w:tab w:val="left" w:pos="6360"/>
              </w:tabs>
              <w:spacing w:line="294" w:lineRule="exact"/>
              <w:jc w:val="center"/>
              <w:rPr>
                <w:rFonts w:asciiTheme="minorHAnsi" w:hAnsiTheme="minorHAnsi" w:cstheme="minorHAnsi"/>
                <w:bCs/>
                <w:color w:val="264D74"/>
                <w:sz w:val="24"/>
                <w:szCs w:val="24"/>
              </w:rPr>
            </w:pPr>
          </w:p>
        </w:tc>
        <w:tc>
          <w:tcPr>
            <w:tcW w:w="9995" w:type="dxa"/>
            <w:tcBorders>
              <w:top w:val="single" w:sz="4" w:space="0" w:color="auto"/>
              <w:left w:val="single" w:sz="4" w:space="0" w:color="auto"/>
              <w:bottom w:val="single" w:sz="4" w:space="0" w:color="auto"/>
              <w:right w:val="single" w:sz="4" w:space="0" w:color="auto"/>
            </w:tcBorders>
            <w:shd w:val="clear" w:color="auto" w:fill="auto"/>
          </w:tcPr>
          <w:p w:rsidR="00F7585F" w:rsidRPr="00F7585F" w:rsidRDefault="00F7585F" w:rsidP="003315B3">
            <w:pPr>
              <w:widowControl w:val="0"/>
              <w:tabs>
                <w:tab w:val="left" w:pos="900"/>
                <w:tab w:val="left" w:pos="6360"/>
              </w:tabs>
              <w:spacing w:line="294" w:lineRule="exact"/>
              <w:rPr>
                <w:rFonts w:asciiTheme="minorHAnsi" w:hAnsiTheme="minorHAnsi" w:cstheme="minorHAnsi"/>
                <w:bCs/>
                <w:color w:val="264D74"/>
                <w:sz w:val="24"/>
                <w:szCs w:val="24"/>
              </w:rPr>
            </w:pPr>
          </w:p>
        </w:tc>
      </w:tr>
      <w:tr w:rsidR="00F7585F" w:rsidRPr="00F7585F" w:rsidTr="00BC7D6E">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auto"/>
          </w:tcPr>
          <w:p w:rsidR="00F7585F" w:rsidRPr="00F7585F" w:rsidRDefault="00F7585F" w:rsidP="003315B3">
            <w:pPr>
              <w:widowControl w:val="0"/>
              <w:tabs>
                <w:tab w:val="left" w:pos="900"/>
                <w:tab w:val="left" w:pos="6360"/>
              </w:tabs>
              <w:spacing w:line="294" w:lineRule="exact"/>
              <w:jc w:val="center"/>
              <w:rPr>
                <w:rFonts w:asciiTheme="minorHAnsi" w:hAnsiTheme="minorHAnsi" w:cstheme="minorHAnsi"/>
                <w:bCs/>
                <w:color w:val="264D74"/>
                <w:sz w:val="24"/>
                <w:szCs w:val="24"/>
              </w:rPr>
            </w:pPr>
          </w:p>
        </w:tc>
        <w:tc>
          <w:tcPr>
            <w:tcW w:w="9995" w:type="dxa"/>
            <w:tcBorders>
              <w:top w:val="single" w:sz="4" w:space="0" w:color="auto"/>
              <w:left w:val="single" w:sz="4" w:space="0" w:color="auto"/>
              <w:bottom w:val="single" w:sz="4" w:space="0" w:color="auto"/>
              <w:right w:val="single" w:sz="4" w:space="0" w:color="auto"/>
            </w:tcBorders>
            <w:shd w:val="clear" w:color="auto" w:fill="auto"/>
          </w:tcPr>
          <w:p w:rsidR="00F7585F" w:rsidRPr="00F7585F" w:rsidRDefault="00F7585F" w:rsidP="003315B3">
            <w:pPr>
              <w:widowControl w:val="0"/>
              <w:tabs>
                <w:tab w:val="left" w:pos="900"/>
                <w:tab w:val="left" w:pos="6360"/>
              </w:tabs>
              <w:spacing w:line="294" w:lineRule="exact"/>
              <w:rPr>
                <w:rFonts w:asciiTheme="minorHAnsi" w:hAnsiTheme="minorHAnsi" w:cstheme="minorHAnsi"/>
                <w:bCs/>
                <w:color w:val="264D74"/>
                <w:sz w:val="24"/>
                <w:szCs w:val="24"/>
              </w:rPr>
            </w:pPr>
          </w:p>
        </w:tc>
      </w:tr>
    </w:tbl>
    <w:p w:rsidR="00F7585F" w:rsidRPr="00F7585F" w:rsidRDefault="00F7585F" w:rsidP="00F7585F">
      <w:pPr>
        <w:rPr>
          <w:rFonts w:asciiTheme="minorHAnsi" w:hAnsiTheme="minorHAnsi" w:cstheme="minorHAnsi"/>
          <w:sz w:val="24"/>
          <w:szCs w:val="24"/>
        </w:rPr>
      </w:pPr>
    </w:p>
    <w:tbl>
      <w:tblPr>
        <w:tblW w:w="11036"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
        <w:gridCol w:w="9995"/>
      </w:tblGrid>
      <w:tr w:rsidR="00F7585F" w:rsidRPr="00F7585F" w:rsidTr="00BC7D6E">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DCDCFF"/>
            <w:hideMark/>
          </w:tcPr>
          <w:p w:rsidR="00F7585F" w:rsidRPr="00F7585F" w:rsidRDefault="00F7585F" w:rsidP="00BC7D6E">
            <w:pPr>
              <w:widowControl w:val="0"/>
              <w:tabs>
                <w:tab w:val="left" w:pos="900"/>
                <w:tab w:val="left" w:pos="6360"/>
              </w:tabs>
              <w:spacing w:line="294" w:lineRule="exact"/>
              <w:jc w:val="center"/>
              <w:rPr>
                <w:rFonts w:asciiTheme="minorHAnsi" w:hAnsiTheme="minorHAnsi" w:cstheme="minorHAnsi"/>
                <w:b/>
                <w:bCs/>
                <w:sz w:val="24"/>
                <w:szCs w:val="24"/>
              </w:rPr>
            </w:pPr>
            <w:r w:rsidRPr="00F7585F">
              <w:rPr>
                <w:rFonts w:asciiTheme="minorHAnsi" w:hAnsiTheme="minorHAnsi" w:cstheme="minorHAnsi"/>
                <w:b/>
                <w:bCs/>
                <w:sz w:val="24"/>
                <w:szCs w:val="24"/>
              </w:rPr>
              <w:t>Req.</w:t>
            </w:r>
          </w:p>
        </w:tc>
        <w:tc>
          <w:tcPr>
            <w:tcW w:w="9995" w:type="dxa"/>
            <w:tcBorders>
              <w:top w:val="single" w:sz="4" w:space="0" w:color="auto"/>
              <w:left w:val="single" w:sz="4" w:space="0" w:color="auto"/>
              <w:bottom w:val="single" w:sz="4" w:space="0" w:color="auto"/>
              <w:right w:val="single" w:sz="4" w:space="0" w:color="auto"/>
            </w:tcBorders>
            <w:shd w:val="clear" w:color="auto" w:fill="DCDCFF"/>
            <w:hideMark/>
          </w:tcPr>
          <w:p w:rsidR="00F7585F" w:rsidRPr="00F7585F" w:rsidRDefault="00F7585F" w:rsidP="00BC7D6E">
            <w:pPr>
              <w:widowControl w:val="0"/>
              <w:tabs>
                <w:tab w:val="left" w:pos="900"/>
                <w:tab w:val="left" w:pos="6360"/>
              </w:tabs>
              <w:spacing w:line="294" w:lineRule="exact"/>
              <w:jc w:val="center"/>
              <w:rPr>
                <w:rFonts w:asciiTheme="minorHAnsi" w:hAnsiTheme="minorHAnsi" w:cstheme="minorHAnsi"/>
                <w:b/>
                <w:bCs/>
                <w:sz w:val="24"/>
                <w:szCs w:val="24"/>
              </w:rPr>
            </w:pPr>
            <w:r w:rsidRPr="00F7585F">
              <w:rPr>
                <w:rFonts w:asciiTheme="minorHAnsi" w:hAnsiTheme="minorHAnsi" w:cstheme="minorHAnsi"/>
                <w:b/>
                <w:bCs/>
                <w:sz w:val="24"/>
                <w:szCs w:val="24"/>
              </w:rPr>
              <w:t>Areas of Concern</w:t>
            </w:r>
          </w:p>
        </w:tc>
      </w:tr>
      <w:tr w:rsidR="00F7585F" w:rsidRPr="00F7585F" w:rsidTr="00BC7D6E">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auto"/>
          </w:tcPr>
          <w:p w:rsidR="00F7585F" w:rsidRPr="00F7585F" w:rsidRDefault="00F7585F" w:rsidP="003315B3">
            <w:pPr>
              <w:widowControl w:val="0"/>
              <w:tabs>
                <w:tab w:val="left" w:pos="900"/>
                <w:tab w:val="left" w:pos="6360"/>
              </w:tabs>
              <w:spacing w:line="294" w:lineRule="exact"/>
              <w:jc w:val="center"/>
              <w:rPr>
                <w:rFonts w:asciiTheme="minorHAnsi" w:hAnsiTheme="minorHAnsi" w:cstheme="minorHAnsi"/>
                <w:bCs/>
                <w:color w:val="264D74"/>
                <w:sz w:val="24"/>
                <w:szCs w:val="24"/>
              </w:rPr>
            </w:pPr>
          </w:p>
        </w:tc>
        <w:tc>
          <w:tcPr>
            <w:tcW w:w="9995" w:type="dxa"/>
            <w:tcBorders>
              <w:top w:val="single" w:sz="4" w:space="0" w:color="auto"/>
              <w:left w:val="single" w:sz="4" w:space="0" w:color="auto"/>
              <w:bottom w:val="single" w:sz="4" w:space="0" w:color="auto"/>
              <w:right w:val="single" w:sz="4" w:space="0" w:color="auto"/>
            </w:tcBorders>
            <w:shd w:val="clear" w:color="auto" w:fill="auto"/>
          </w:tcPr>
          <w:p w:rsidR="00F7585F" w:rsidRPr="00F7585F" w:rsidRDefault="00F7585F" w:rsidP="003315B3">
            <w:pPr>
              <w:widowControl w:val="0"/>
              <w:tabs>
                <w:tab w:val="left" w:pos="900"/>
                <w:tab w:val="left" w:pos="6360"/>
              </w:tabs>
              <w:spacing w:line="294" w:lineRule="exact"/>
              <w:ind w:right="-176"/>
              <w:rPr>
                <w:rFonts w:asciiTheme="minorHAnsi" w:hAnsiTheme="minorHAnsi" w:cstheme="minorHAnsi"/>
                <w:bCs/>
                <w:color w:val="264D74"/>
                <w:sz w:val="24"/>
                <w:szCs w:val="24"/>
              </w:rPr>
            </w:pPr>
          </w:p>
        </w:tc>
      </w:tr>
      <w:tr w:rsidR="00F7585F" w:rsidRPr="00F7585F" w:rsidTr="00BC7D6E">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auto"/>
          </w:tcPr>
          <w:p w:rsidR="00F7585F" w:rsidRPr="00F7585F" w:rsidRDefault="00F7585F" w:rsidP="003315B3">
            <w:pPr>
              <w:widowControl w:val="0"/>
              <w:tabs>
                <w:tab w:val="left" w:pos="900"/>
                <w:tab w:val="left" w:pos="6360"/>
              </w:tabs>
              <w:spacing w:line="294" w:lineRule="exact"/>
              <w:jc w:val="center"/>
              <w:rPr>
                <w:rFonts w:asciiTheme="minorHAnsi" w:hAnsiTheme="minorHAnsi" w:cstheme="minorHAnsi"/>
                <w:bCs/>
                <w:color w:val="264D74"/>
                <w:sz w:val="24"/>
                <w:szCs w:val="24"/>
              </w:rPr>
            </w:pPr>
          </w:p>
        </w:tc>
        <w:tc>
          <w:tcPr>
            <w:tcW w:w="9995" w:type="dxa"/>
            <w:tcBorders>
              <w:top w:val="single" w:sz="4" w:space="0" w:color="auto"/>
              <w:left w:val="single" w:sz="4" w:space="0" w:color="auto"/>
              <w:bottom w:val="single" w:sz="4" w:space="0" w:color="auto"/>
              <w:right w:val="single" w:sz="4" w:space="0" w:color="auto"/>
            </w:tcBorders>
            <w:shd w:val="clear" w:color="auto" w:fill="auto"/>
          </w:tcPr>
          <w:p w:rsidR="00F7585F" w:rsidRPr="00F7585F" w:rsidRDefault="00F7585F" w:rsidP="003315B3">
            <w:pPr>
              <w:widowControl w:val="0"/>
              <w:tabs>
                <w:tab w:val="left" w:pos="900"/>
                <w:tab w:val="left" w:pos="6360"/>
              </w:tabs>
              <w:spacing w:line="294" w:lineRule="exact"/>
              <w:rPr>
                <w:rFonts w:asciiTheme="minorHAnsi" w:hAnsiTheme="minorHAnsi" w:cstheme="minorHAnsi"/>
                <w:bCs/>
                <w:color w:val="264D74"/>
                <w:sz w:val="24"/>
                <w:szCs w:val="24"/>
              </w:rPr>
            </w:pPr>
          </w:p>
        </w:tc>
      </w:tr>
      <w:tr w:rsidR="00F7585F" w:rsidRPr="00F7585F" w:rsidTr="00BC7D6E">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auto"/>
          </w:tcPr>
          <w:p w:rsidR="00F7585F" w:rsidRPr="00F7585F" w:rsidRDefault="00F7585F" w:rsidP="003315B3">
            <w:pPr>
              <w:widowControl w:val="0"/>
              <w:tabs>
                <w:tab w:val="left" w:pos="900"/>
                <w:tab w:val="left" w:pos="6360"/>
              </w:tabs>
              <w:spacing w:line="294" w:lineRule="exact"/>
              <w:jc w:val="center"/>
              <w:rPr>
                <w:rFonts w:asciiTheme="minorHAnsi" w:hAnsiTheme="minorHAnsi" w:cstheme="minorHAnsi"/>
                <w:bCs/>
                <w:color w:val="264D74"/>
                <w:sz w:val="24"/>
                <w:szCs w:val="24"/>
              </w:rPr>
            </w:pPr>
          </w:p>
        </w:tc>
        <w:tc>
          <w:tcPr>
            <w:tcW w:w="9995" w:type="dxa"/>
            <w:tcBorders>
              <w:top w:val="single" w:sz="4" w:space="0" w:color="auto"/>
              <w:left w:val="single" w:sz="4" w:space="0" w:color="auto"/>
              <w:bottom w:val="single" w:sz="4" w:space="0" w:color="auto"/>
              <w:right w:val="single" w:sz="4" w:space="0" w:color="auto"/>
            </w:tcBorders>
            <w:shd w:val="clear" w:color="auto" w:fill="auto"/>
          </w:tcPr>
          <w:p w:rsidR="00F7585F" w:rsidRPr="00F7585F" w:rsidRDefault="00F7585F" w:rsidP="003315B3">
            <w:pPr>
              <w:widowControl w:val="0"/>
              <w:tabs>
                <w:tab w:val="left" w:pos="900"/>
                <w:tab w:val="left" w:pos="6360"/>
              </w:tabs>
              <w:spacing w:line="294" w:lineRule="exact"/>
              <w:rPr>
                <w:rFonts w:asciiTheme="minorHAnsi" w:hAnsiTheme="minorHAnsi" w:cstheme="minorHAnsi"/>
                <w:bCs/>
                <w:color w:val="264D74"/>
                <w:sz w:val="24"/>
                <w:szCs w:val="24"/>
              </w:rPr>
            </w:pPr>
          </w:p>
        </w:tc>
      </w:tr>
    </w:tbl>
    <w:p w:rsidR="00F7585F" w:rsidRDefault="00F7585F" w:rsidP="00F7585F">
      <w:pPr>
        <w:rPr>
          <w:rFonts w:asciiTheme="minorHAnsi" w:hAnsiTheme="minorHAnsi" w:cstheme="minorHAnsi"/>
          <w:sz w:val="24"/>
          <w:szCs w:val="24"/>
        </w:rPr>
      </w:pPr>
    </w:p>
    <w:tbl>
      <w:tblPr>
        <w:tblStyle w:val="TableGrid"/>
        <w:tblW w:w="10980" w:type="dxa"/>
        <w:tblInd w:w="18" w:type="dxa"/>
        <w:tblLook w:val="04A0" w:firstRow="1" w:lastRow="0" w:firstColumn="1" w:lastColumn="0" w:noHBand="0" w:noVBand="1"/>
      </w:tblPr>
      <w:tblGrid>
        <w:gridCol w:w="990"/>
        <w:gridCol w:w="9990"/>
      </w:tblGrid>
      <w:tr w:rsidR="000939E0" w:rsidRPr="000939E0" w:rsidTr="000939E0">
        <w:tc>
          <w:tcPr>
            <w:tcW w:w="990" w:type="dxa"/>
            <w:shd w:val="clear" w:color="auto" w:fill="DCDCFF"/>
          </w:tcPr>
          <w:p w:rsidR="000939E0" w:rsidRPr="000939E0" w:rsidRDefault="000939E0" w:rsidP="000939E0">
            <w:pPr>
              <w:rPr>
                <w:rFonts w:asciiTheme="minorHAnsi" w:hAnsiTheme="minorHAnsi" w:cstheme="minorHAnsi"/>
                <w:b/>
                <w:bCs/>
              </w:rPr>
            </w:pPr>
            <w:r w:rsidRPr="000939E0">
              <w:rPr>
                <w:rFonts w:asciiTheme="minorHAnsi" w:hAnsiTheme="minorHAnsi" w:cstheme="minorHAnsi"/>
                <w:b/>
                <w:bCs/>
              </w:rPr>
              <w:t>Req.</w:t>
            </w:r>
          </w:p>
        </w:tc>
        <w:tc>
          <w:tcPr>
            <w:tcW w:w="9990" w:type="dxa"/>
            <w:shd w:val="clear" w:color="auto" w:fill="DCDCFF"/>
          </w:tcPr>
          <w:p w:rsidR="000939E0" w:rsidRPr="000939E0" w:rsidRDefault="000939E0" w:rsidP="003C759C">
            <w:pPr>
              <w:jc w:val="center"/>
              <w:rPr>
                <w:rFonts w:asciiTheme="minorHAnsi" w:hAnsiTheme="minorHAnsi" w:cstheme="minorHAnsi"/>
                <w:b/>
                <w:bCs/>
              </w:rPr>
            </w:pPr>
            <w:r w:rsidRPr="000939E0">
              <w:rPr>
                <w:rFonts w:asciiTheme="minorHAnsi" w:hAnsiTheme="minorHAnsi" w:cstheme="minorHAnsi"/>
                <w:b/>
                <w:bCs/>
              </w:rPr>
              <w:t>Positive Observations</w:t>
            </w:r>
          </w:p>
        </w:tc>
      </w:tr>
      <w:tr w:rsidR="000939E0" w:rsidRPr="000939E0" w:rsidTr="000939E0">
        <w:tc>
          <w:tcPr>
            <w:tcW w:w="990" w:type="dxa"/>
          </w:tcPr>
          <w:p w:rsidR="000939E0" w:rsidRPr="000939E0" w:rsidRDefault="000939E0" w:rsidP="000939E0">
            <w:pPr>
              <w:rPr>
                <w:rFonts w:asciiTheme="minorHAnsi" w:hAnsiTheme="minorHAnsi" w:cstheme="minorHAnsi"/>
                <w:bCs/>
              </w:rPr>
            </w:pPr>
          </w:p>
        </w:tc>
        <w:tc>
          <w:tcPr>
            <w:tcW w:w="9990" w:type="dxa"/>
          </w:tcPr>
          <w:p w:rsidR="000939E0" w:rsidRPr="000939E0" w:rsidRDefault="000939E0" w:rsidP="000939E0">
            <w:pPr>
              <w:rPr>
                <w:rFonts w:asciiTheme="minorHAnsi" w:hAnsiTheme="minorHAnsi" w:cstheme="minorHAnsi"/>
                <w:bCs/>
              </w:rPr>
            </w:pPr>
          </w:p>
        </w:tc>
      </w:tr>
      <w:tr w:rsidR="000939E0" w:rsidRPr="000939E0" w:rsidTr="000939E0">
        <w:tc>
          <w:tcPr>
            <w:tcW w:w="990" w:type="dxa"/>
          </w:tcPr>
          <w:p w:rsidR="000939E0" w:rsidRPr="000939E0" w:rsidRDefault="000939E0" w:rsidP="000939E0">
            <w:pPr>
              <w:rPr>
                <w:rFonts w:asciiTheme="minorHAnsi" w:hAnsiTheme="minorHAnsi" w:cstheme="minorHAnsi"/>
                <w:bCs/>
              </w:rPr>
            </w:pPr>
          </w:p>
        </w:tc>
        <w:tc>
          <w:tcPr>
            <w:tcW w:w="9990" w:type="dxa"/>
          </w:tcPr>
          <w:p w:rsidR="000939E0" w:rsidRPr="000939E0" w:rsidRDefault="000939E0" w:rsidP="000939E0">
            <w:pPr>
              <w:rPr>
                <w:rFonts w:asciiTheme="minorHAnsi" w:hAnsiTheme="minorHAnsi" w:cstheme="minorHAnsi"/>
                <w:bCs/>
              </w:rPr>
            </w:pPr>
          </w:p>
        </w:tc>
      </w:tr>
      <w:tr w:rsidR="000939E0" w:rsidRPr="000939E0" w:rsidTr="000939E0">
        <w:tc>
          <w:tcPr>
            <w:tcW w:w="990" w:type="dxa"/>
          </w:tcPr>
          <w:p w:rsidR="000939E0" w:rsidRPr="000939E0" w:rsidRDefault="000939E0" w:rsidP="000939E0">
            <w:pPr>
              <w:rPr>
                <w:rFonts w:asciiTheme="minorHAnsi" w:hAnsiTheme="minorHAnsi" w:cstheme="minorHAnsi"/>
                <w:bCs/>
              </w:rPr>
            </w:pPr>
          </w:p>
        </w:tc>
        <w:tc>
          <w:tcPr>
            <w:tcW w:w="9990" w:type="dxa"/>
          </w:tcPr>
          <w:p w:rsidR="000939E0" w:rsidRPr="000939E0" w:rsidRDefault="000939E0" w:rsidP="000939E0">
            <w:pPr>
              <w:rPr>
                <w:rFonts w:asciiTheme="minorHAnsi" w:hAnsiTheme="minorHAnsi" w:cstheme="minorHAnsi"/>
                <w:bCs/>
              </w:rPr>
            </w:pPr>
          </w:p>
        </w:tc>
      </w:tr>
    </w:tbl>
    <w:p w:rsidR="000939E0" w:rsidRPr="00F7585F" w:rsidRDefault="000939E0" w:rsidP="00F7585F">
      <w:pPr>
        <w:rPr>
          <w:rFonts w:asciiTheme="minorHAnsi" w:hAnsiTheme="minorHAnsi" w:cstheme="minorHAnsi"/>
          <w:sz w:val="24"/>
          <w:szCs w:val="24"/>
        </w:rPr>
      </w:pPr>
    </w:p>
    <w:p w:rsidR="00F7585F" w:rsidRPr="00F7585F" w:rsidRDefault="00F7585F" w:rsidP="00F7585F">
      <w:pPr>
        <w:pStyle w:val="Heading1"/>
        <w:rPr>
          <w:rFonts w:asciiTheme="minorHAnsi" w:hAnsiTheme="minorHAnsi" w:cstheme="minorHAnsi"/>
          <w:b/>
          <w:shadow w:val="0"/>
          <w:color w:val="auto"/>
          <w:sz w:val="24"/>
          <w:szCs w:val="24"/>
          <w:u w:val="single"/>
        </w:rPr>
      </w:pPr>
      <w:r w:rsidRPr="00F7585F">
        <w:rPr>
          <w:rFonts w:asciiTheme="minorHAnsi" w:hAnsiTheme="minorHAnsi" w:cstheme="minorHAnsi"/>
          <w:b/>
          <w:shadow w:val="0"/>
          <w:color w:val="auto"/>
          <w:sz w:val="24"/>
          <w:szCs w:val="24"/>
          <w:u w:val="single"/>
        </w:rPr>
        <w:t>Subject Matter Experts</w:t>
      </w:r>
      <w:bookmarkEnd w:id="1"/>
    </w:p>
    <w:p w:rsidR="00F7585F" w:rsidRPr="00F7585F" w:rsidRDefault="00F7585F" w:rsidP="00F7585F">
      <w:pPr>
        <w:widowControl w:val="0"/>
        <w:rPr>
          <w:rFonts w:asciiTheme="minorHAnsi" w:hAnsiTheme="minorHAnsi" w:cstheme="minorHAnsi"/>
          <w:sz w:val="24"/>
          <w:szCs w:val="24"/>
        </w:rPr>
      </w:pPr>
      <w:r w:rsidRPr="00F7585F">
        <w:rPr>
          <w:rFonts w:asciiTheme="minorHAnsi" w:hAnsiTheme="minorHAnsi" w:cstheme="minorHAnsi"/>
          <w:sz w:val="24"/>
          <w:szCs w:val="24"/>
        </w:rPr>
        <w:t xml:space="preserve">Identify subject matter expert(s) responsible for this Reliability Standard.  Insert additional lines if necessary.  </w:t>
      </w:r>
    </w:p>
    <w:p w:rsidR="00F7585F" w:rsidRPr="00F7585F" w:rsidRDefault="00F7585F" w:rsidP="00F7585F">
      <w:pPr>
        <w:widowControl w:val="0"/>
        <w:rPr>
          <w:rFonts w:asciiTheme="minorHAnsi" w:hAnsiTheme="minorHAnsi" w:cstheme="minorHAnsi"/>
          <w:b/>
          <w:bCs/>
          <w:sz w:val="24"/>
          <w:szCs w:val="24"/>
        </w:rPr>
      </w:pPr>
    </w:p>
    <w:p w:rsidR="00F7585F" w:rsidRPr="00F7585F" w:rsidRDefault="00F7585F" w:rsidP="00F7585F">
      <w:pPr>
        <w:widowControl w:val="0"/>
        <w:rPr>
          <w:rFonts w:asciiTheme="minorHAnsi" w:hAnsiTheme="minorHAnsi" w:cstheme="minorHAnsi"/>
          <w:b/>
          <w:bCs/>
          <w:color w:val="264D74"/>
          <w:sz w:val="24"/>
          <w:szCs w:val="24"/>
        </w:rPr>
      </w:pPr>
      <w:r w:rsidRPr="00F7585F">
        <w:rPr>
          <w:rFonts w:asciiTheme="minorHAnsi" w:hAnsiTheme="minorHAnsi" w:cstheme="minorHAnsi"/>
          <w:b/>
          <w:bCs/>
          <w:sz w:val="24"/>
          <w:szCs w:val="24"/>
        </w:rPr>
        <w:t xml:space="preserve">Registered Entity Response </w:t>
      </w:r>
      <w:r w:rsidR="003F1CEA" w:rsidRPr="005C3EC5">
        <w:rPr>
          <w:rFonts w:ascii="Calibri" w:hAnsi="Calibri" w:cs="Times New Roman"/>
          <w:bCs/>
          <w:color w:val="FF0000"/>
          <w:sz w:val="24"/>
          <w:szCs w:val="24"/>
        </w:rPr>
        <w:t>(</w:t>
      </w:r>
      <w:r w:rsidR="003F1CEA" w:rsidRPr="00EF49EC">
        <w:rPr>
          <w:rFonts w:ascii="Calibri" w:hAnsi="Calibri" w:cs="Times New Roman"/>
          <w:b/>
          <w:bCs/>
          <w:color w:val="FF0000"/>
          <w:sz w:val="24"/>
          <w:szCs w:val="24"/>
        </w:rPr>
        <w:t>Required</w:t>
      </w:r>
      <w:r w:rsidR="003F1CEA" w:rsidRPr="005C3EC5">
        <w:rPr>
          <w:rFonts w:ascii="Calibri" w:hAnsi="Calibri" w:cs="Times New Roman"/>
          <w:bCs/>
          <w:color w:val="FF0000"/>
          <w:sz w:val="24"/>
          <w:szCs w:val="24"/>
        </w:rPr>
        <w:t>; Insert additional rows if needed)</w:t>
      </w:r>
      <w:r w:rsidR="003F1CEA" w:rsidRPr="00EF49EC">
        <w:rPr>
          <w:rFonts w:ascii="Calibri" w:hAnsi="Calibri" w:cs="Times New Roman"/>
          <w:b/>
          <w:bCs/>
          <w:color w:val="000000"/>
          <w:sz w:val="24"/>
          <w:szCs w:val="24"/>
        </w:rPr>
        <w:t>:</w:t>
      </w:r>
    </w:p>
    <w:tbl>
      <w:tblPr>
        <w:tblStyle w:val="TableGrid"/>
        <w:tblW w:w="0" w:type="auto"/>
        <w:tblLook w:val="04A0" w:firstRow="1" w:lastRow="0" w:firstColumn="1" w:lastColumn="0" w:noHBand="0" w:noVBand="1"/>
      </w:tblPr>
      <w:tblGrid>
        <w:gridCol w:w="2754"/>
        <w:gridCol w:w="2754"/>
        <w:gridCol w:w="2754"/>
        <w:gridCol w:w="2754"/>
      </w:tblGrid>
      <w:tr w:rsidR="00F7585F" w:rsidRPr="00F7585F" w:rsidTr="00BC7D6E">
        <w:tc>
          <w:tcPr>
            <w:tcW w:w="2754" w:type="dxa"/>
            <w:shd w:val="clear" w:color="auto" w:fill="DCDCFF"/>
          </w:tcPr>
          <w:p w:rsidR="00F7585F" w:rsidRPr="00F7585F" w:rsidRDefault="00F7585F" w:rsidP="003315B3">
            <w:pPr>
              <w:widowControl w:val="0"/>
              <w:jc w:val="center"/>
              <w:rPr>
                <w:rFonts w:asciiTheme="minorHAnsi" w:hAnsiTheme="minorHAnsi" w:cstheme="minorHAnsi"/>
                <w:b/>
                <w:bCs/>
                <w:color w:val="auto"/>
              </w:rPr>
            </w:pPr>
            <w:r w:rsidRPr="00F7585F">
              <w:rPr>
                <w:rFonts w:asciiTheme="minorHAnsi" w:hAnsiTheme="minorHAnsi" w:cstheme="minorHAnsi"/>
                <w:b/>
                <w:bCs/>
                <w:color w:val="auto"/>
              </w:rPr>
              <w:t>SME Name</w:t>
            </w:r>
          </w:p>
        </w:tc>
        <w:tc>
          <w:tcPr>
            <w:tcW w:w="2754" w:type="dxa"/>
            <w:shd w:val="clear" w:color="auto" w:fill="DCDCFF"/>
          </w:tcPr>
          <w:p w:rsidR="00F7585F" w:rsidRPr="00F7585F" w:rsidRDefault="00F7585F" w:rsidP="003315B3">
            <w:pPr>
              <w:widowControl w:val="0"/>
              <w:jc w:val="center"/>
              <w:rPr>
                <w:rFonts w:asciiTheme="minorHAnsi" w:hAnsiTheme="minorHAnsi" w:cstheme="minorHAnsi"/>
                <w:b/>
                <w:bCs/>
                <w:color w:val="auto"/>
              </w:rPr>
            </w:pPr>
            <w:r w:rsidRPr="00F7585F">
              <w:rPr>
                <w:rFonts w:asciiTheme="minorHAnsi" w:hAnsiTheme="minorHAnsi" w:cstheme="minorHAnsi"/>
                <w:b/>
                <w:bCs/>
                <w:color w:val="auto"/>
              </w:rPr>
              <w:t>Title</w:t>
            </w:r>
          </w:p>
        </w:tc>
        <w:tc>
          <w:tcPr>
            <w:tcW w:w="2754" w:type="dxa"/>
            <w:shd w:val="clear" w:color="auto" w:fill="DCDCFF"/>
          </w:tcPr>
          <w:p w:rsidR="00F7585F" w:rsidRPr="00F7585F" w:rsidRDefault="00F7585F" w:rsidP="003315B3">
            <w:pPr>
              <w:widowControl w:val="0"/>
              <w:jc w:val="center"/>
              <w:rPr>
                <w:rFonts w:asciiTheme="minorHAnsi" w:hAnsiTheme="minorHAnsi" w:cstheme="minorHAnsi"/>
                <w:b/>
                <w:bCs/>
                <w:color w:val="auto"/>
              </w:rPr>
            </w:pPr>
            <w:r w:rsidRPr="00F7585F">
              <w:rPr>
                <w:rFonts w:asciiTheme="minorHAnsi" w:hAnsiTheme="minorHAnsi" w:cstheme="minorHAnsi"/>
                <w:b/>
                <w:bCs/>
                <w:color w:val="auto"/>
              </w:rPr>
              <w:t>Organization</w:t>
            </w:r>
          </w:p>
        </w:tc>
        <w:tc>
          <w:tcPr>
            <w:tcW w:w="2754" w:type="dxa"/>
            <w:shd w:val="clear" w:color="auto" w:fill="DCDCFF"/>
          </w:tcPr>
          <w:p w:rsidR="00F7585F" w:rsidRPr="00F7585F" w:rsidRDefault="00F7585F" w:rsidP="003315B3">
            <w:pPr>
              <w:widowControl w:val="0"/>
              <w:jc w:val="center"/>
              <w:rPr>
                <w:rFonts w:asciiTheme="minorHAnsi" w:hAnsiTheme="minorHAnsi" w:cstheme="minorHAnsi"/>
                <w:b/>
                <w:bCs/>
                <w:color w:val="auto"/>
              </w:rPr>
            </w:pPr>
            <w:r w:rsidRPr="00F7585F">
              <w:rPr>
                <w:rFonts w:asciiTheme="minorHAnsi" w:hAnsiTheme="minorHAnsi" w:cstheme="minorHAnsi"/>
                <w:b/>
                <w:bCs/>
                <w:color w:val="auto"/>
              </w:rPr>
              <w:t>Requirement(s)</w:t>
            </w:r>
          </w:p>
        </w:tc>
      </w:tr>
      <w:tr w:rsidR="00F7585F" w:rsidRPr="00F7585F" w:rsidTr="00BC7D6E">
        <w:tc>
          <w:tcPr>
            <w:tcW w:w="2754" w:type="dxa"/>
            <w:shd w:val="clear" w:color="auto" w:fill="CDFFCD"/>
          </w:tcPr>
          <w:p w:rsidR="00F7585F" w:rsidRPr="00F7585F" w:rsidRDefault="00F7585F" w:rsidP="003315B3">
            <w:pPr>
              <w:widowControl w:val="0"/>
              <w:rPr>
                <w:rFonts w:asciiTheme="minorHAnsi" w:hAnsiTheme="minorHAnsi" w:cstheme="minorHAnsi"/>
                <w:b/>
                <w:bCs/>
                <w:color w:val="auto"/>
              </w:rPr>
            </w:pPr>
          </w:p>
        </w:tc>
        <w:tc>
          <w:tcPr>
            <w:tcW w:w="2754" w:type="dxa"/>
            <w:shd w:val="clear" w:color="auto" w:fill="CDFFCD"/>
          </w:tcPr>
          <w:p w:rsidR="00F7585F" w:rsidRPr="00F7585F" w:rsidRDefault="00F7585F" w:rsidP="003315B3">
            <w:pPr>
              <w:widowControl w:val="0"/>
              <w:rPr>
                <w:rFonts w:asciiTheme="minorHAnsi" w:hAnsiTheme="minorHAnsi" w:cstheme="minorHAnsi"/>
                <w:b/>
                <w:bCs/>
                <w:color w:val="auto"/>
              </w:rPr>
            </w:pPr>
          </w:p>
        </w:tc>
        <w:tc>
          <w:tcPr>
            <w:tcW w:w="2754" w:type="dxa"/>
            <w:shd w:val="clear" w:color="auto" w:fill="CDFFCD"/>
          </w:tcPr>
          <w:p w:rsidR="00F7585F" w:rsidRPr="00F7585F" w:rsidRDefault="00F7585F" w:rsidP="003315B3">
            <w:pPr>
              <w:widowControl w:val="0"/>
              <w:rPr>
                <w:rFonts w:asciiTheme="minorHAnsi" w:hAnsiTheme="minorHAnsi" w:cstheme="minorHAnsi"/>
                <w:b/>
                <w:bCs/>
                <w:color w:val="auto"/>
              </w:rPr>
            </w:pPr>
          </w:p>
        </w:tc>
        <w:tc>
          <w:tcPr>
            <w:tcW w:w="2754" w:type="dxa"/>
            <w:shd w:val="clear" w:color="auto" w:fill="CDFFCD"/>
          </w:tcPr>
          <w:p w:rsidR="00F7585F" w:rsidRPr="00F7585F" w:rsidRDefault="00F7585F" w:rsidP="003315B3">
            <w:pPr>
              <w:widowControl w:val="0"/>
              <w:rPr>
                <w:rFonts w:asciiTheme="minorHAnsi" w:hAnsiTheme="minorHAnsi" w:cstheme="minorHAnsi"/>
                <w:b/>
                <w:bCs/>
                <w:color w:val="auto"/>
              </w:rPr>
            </w:pPr>
          </w:p>
        </w:tc>
      </w:tr>
      <w:tr w:rsidR="00F7585F" w:rsidRPr="00F7585F" w:rsidTr="00BC7D6E">
        <w:tc>
          <w:tcPr>
            <w:tcW w:w="2754" w:type="dxa"/>
            <w:shd w:val="clear" w:color="auto" w:fill="CDFFCD"/>
          </w:tcPr>
          <w:p w:rsidR="00F7585F" w:rsidRPr="00F7585F" w:rsidRDefault="00F7585F" w:rsidP="003315B3">
            <w:pPr>
              <w:widowControl w:val="0"/>
              <w:rPr>
                <w:rFonts w:asciiTheme="minorHAnsi" w:hAnsiTheme="minorHAnsi" w:cstheme="minorHAnsi"/>
                <w:b/>
                <w:bCs/>
                <w:color w:val="auto"/>
              </w:rPr>
            </w:pPr>
          </w:p>
        </w:tc>
        <w:tc>
          <w:tcPr>
            <w:tcW w:w="2754" w:type="dxa"/>
            <w:shd w:val="clear" w:color="auto" w:fill="CDFFCD"/>
          </w:tcPr>
          <w:p w:rsidR="00F7585F" w:rsidRPr="00F7585F" w:rsidRDefault="00F7585F" w:rsidP="003315B3">
            <w:pPr>
              <w:widowControl w:val="0"/>
              <w:rPr>
                <w:rFonts w:asciiTheme="minorHAnsi" w:hAnsiTheme="minorHAnsi" w:cstheme="minorHAnsi"/>
                <w:b/>
                <w:bCs/>
                <w:color w:val="auto"/>
              </w:rPr>
            </w:pPr>
          </w:p>
        </w:tc>
        <w:tc>
          <w:tcPr>
            <w:tcW w:w="2754" w:type="dxa"/>
            <w:shd w:val="clear" w:color="auto" w:fill="CDFFCD"/>
          </w:tcPr>
          <w:p w:rsidR="00F7585F" w:rsidRPr="00F7585F" w:rsidRDefault="00F7585F" w:rsidP="003315B3">
            <w:pPr>
              <w:widowControl w:val="0"/>
              <w:rPr>
                <w:rFonts w:asciiTheme="minorHAnsi" w:hAnsiTheme="minorHAnsi" w:cstheme="minorHAnsi"/>
                <w:b/>
                <w:bCs/>
                <w:color w:val="auto"/>
              </w:rPr>
            </w:pPr>
          </w:p>
        </w:tc>
        <w:tc>
          <w:tcPr>
            <w:tcW w:w="2754" w:type="dxa"/>
            <w:shd w:val="clear" w:color="auto" w:fill="CDFFCD"/>
          </w:tcPr>
          <w:p w:rsidR="00F7585F" w:rsidRPr="00F7585F" w:rsidRDefault="00F7585F" w:rsidP="003315B3">
            <w:pPr>
              <w:widowControl w:val="0"/>
              <w:rPr>
                <w:rFonts w:asciiTheme="minorHAnsi" w:hAnsiTheme="minorHAnsi" w:cstheme="minorHAnsi"/>
                <w:b/>
                <w:bCs/>
                <w:color w:val="auto"/>
              </w:rPr>
            </w:pPr>
          </w:p>
        </w:tc>
      </w:tr>
      <w:tr w:rsidR="00F7585F" w:rsidRPr="00F7585F" w:rsidTr="00BC7D6E">
        <w:tc>
          <w:tcPr>
            <w:tcW w:w="2754" w:type="dxa"/>
            <w:shd w:val="clear" w:color="auto" w:fill="CDFFCD"/>
          </w:tcPr>
          <w:p w:rsidR="00F7585F" w:rsidRPr="00F7585F" w:rsidRDefault="00F7585F" w:rsidP="003315B3">
            <w:pPr>
              <w:widowControl w:val="0"/>
              <w:rPr>
                <w:rFonts w:asciiTheme="minorHAnsi" w:hAnsiTheme="minorHAnsi" w:cstheme="minorHAnsi"/>
                <w:b/>
                <w:bCs/>
                <w:color w:val="auto"/>
              </w:rPr>
            </w:pPr>
          </w:p>
        </w:tc>
        <w:tc>
          <w:tcPr>
            <w:tcW w:w="2754" w:type="dxa"/>
            <w:shd w:val="clear" w:color="auto" w:fill="CDFFCD"/>
          </w:tcPr>
          <w:p w:rsidR="00F7585F" w:rsidRPr="00F7585F" w:rsidRDefault="00F7585F" w:rsidP="003315B3">
            <w:pPr>
              <w:widowControl w:val="0"/>
              <w:rPr>
                <w:rFonts w:asciiTheme="minorHAnsi" w:hAnsiTheme="minorHAnsi" w:cstheme="minorHAnsi"/>
                <w:b/>
                <w:bCs/>
                <w:color w:val="auto"/>
              </w:rPr>
            </w:pPr>
          </w:p>
        </w:tc>
        <w:tc>
          <w:tcPr>
            <w:tcW w:w="2754" w:type="dxa"/>
            <w:shd w:val="clear" w:color="auto" w:fill="CDFFCD"/>
          </w:tcPr>
          <w:p w:rsidR="00F7585F" w:rsidRPr="00F7585F" w:rsidRDefault="00F7585F" w:rsidP="003315B3">
            <w:pPr>
              <w:widowControl w:val="0"/>
              <w:rPr>
                <w:rFonts w:asciiTheme="minorHAnsi" w:hAnsiTheme="minorHAnsi" w:cstheme="minorHAnsi"/>
                <w:b/>
                <w:bCs/>
                <w:color w:val="auto"/>
              </w:rPr>
            </w:pPr>
          </w:p>
        </w:tc>
        <w:tc>
          <w:tcPr>
            <w:tcW w:w="2754" w:type="dxa"/>
            <w:shd w:val="clear" w:color="auto" w:fill="CDFFCD"/>
          </w:tcPr>
          <w:p w:rsidR="00F7585F" w:rsidRPr="00F7585F" w:rsidRDefault="00F7585F" w:rsidP="003315B3">
            <w:pPr>
              <w:widowControl w:val="0"/>
              <w:rPr>
                <w:rFonts w:asciiTheme="minorHAnsi" w:hAnsiTheme="minorHAnsi" w:cstheme="minorHAnsi"/>
                <w:b/>
                <w:bCs/>
                <w:color w:val="auto"/>
              </w:rPr>
            </w:pPr>
          </w:p>
        </w:tc>
      </w:tr>
    </w:tbl>
    <w:p w:rsidR="00F7585F" w:rsidRDefault="00F7585F" w:rsidP="00F7585F">
      <w:pPr>
        <w:pStyle w:val="Heading1"/>
        <w:rPr>
          <w:rFonts w:asciiTheme="minorHAnsi" w:hAnsiTheme="minorHAnsi"/>
        </w:rPr>
      </w:pPr>
    </w:p>
    <w:p w:rsidR="00F7585F" w:rsidRPr="00445269" w:rsidRDefault="00F7585F" w:rsidP="00F7585F">
      <w:pPr>
        <w:pStyle w:val="Heading1"/>
        <w:rPr>
          <w:rFonts w:asciiTheme="minorHAnsi" w:hAnsiTheme="minorHAnsi" w:cstheme="minorHAnsi"/>
          <w:b/>
          <w:shadow w:val="0"/>
          <w:color w:val="auto"/>
          <w:sz w:val="24"/>
          <w:szCs w:val="22"/>
          <w:u w:val="single"/>
        </w:rPr>
      </w:pPr>
      <w:bookmarkStart w:id="2" w:name="_Toc330463553"/>
      <w:r w:rsidRPr="00445269">
        <w:rPr>
          <w:rFonts w:asciiTheme="minorHAnsi" w:hAnsiTheme="minorHAnsi" w:cstheme="minorHAnsi"/>
          <w:b/>
          <w:shadow w:val="0"/>
          <w:color w:val="auto"/>
          <w:sz w:val="24"/>
          <w:szCs w:val="22"/>
          <w:u w:val="single"/>
        </w:rPr>
        <w:t>R1 Supporting Evidence and Documentation</w:t>
      </w:r>
      <w:bookmarkEnd w:id="2"/>
    </w:p>
    <w:p w:rsidR="00F7585F" w:rsidRPr="003F1CEA" w:rsidRDefault="00F7585F" w:rsidP="00F7585F">
      <w:pPr>
        <w:pStyle w:val="Heading1"/>
        <w:rPr>
          <w:rFonts w:asciiTheme="minorHAnsi" w:hAnsiTheme="minorHAnsi"/>
        </w:rPr>
      </w:pPr>
    </w:p>
    <w:p w:rsidR="001B4B38" w:rsidRPr="003F1CEA" w:rsidRDefault="00C128F5" w:rsidP="001B4B38">
      <w:pPr>
        <w:pStyle w:val="Requirement"/>
        <w:rPr>
          <w:rFonts w:asciiTheme="minorHAnsi" w:hAnsiTheme="minorHAnsi"/>
          <w:i/>
          <w:iCs/>
        </w:rPr>
      </w:pPr>
      <w:r w:rsidRPr="003F1CEA">
        <w:rPr>
          <w:rFonts w:asciiTheme="minorHAnsi" w:hAnsiTheme="minorHAnsi"/>
          <w:b/>
        </w:rPr>
        <w:t>R1.</w:t>
      </w:r>
      <w:r w:rsidRPr="003F1CEA">
        <w:rPr>
          <w:rFonts w:asciiTheme="minorHAnsi" w:hAnsiTheme="minorHAnsi"/>
        </w:rPr>
        <w:t xml:space="preserve"> </w:t>
      </w:r>
      <w:r w:rsidR="003315B3" w:rsidRPr="003F1CEA">
        <w:rPr>
          <w:rFonts w:asciiTheme="minorHAnsi" w:hAnsiTheme="minorHAnsi"/>
        </w:rPr>
        <w:t xml:space="preserve"> </w:t>
      </w:r>
      <w:r w:rsidRPr="003F1CEA">
        <w:rPr>
          <w:rFonts w:asciiTheme="minorHAnsi" w:hAnsiTheme="minorHAnsi"/>
        </w:rPr>
        <w:t xml:space="preserve">Generator Operators and Transmission Operators shall have AVR in service and in automatic voltage control mode 98% of all operating hours for synchronous generators or synchronous condensers. Generator Operators and Transmission Operators may exclude hours for R1.1 through R1.10 to achieve the 98% requirement. </w:t>
      </w:r>
      <w:r w:rsidRPr="003F1CEA">
        <w:rPr>
          <w:rFonts w:asciiTheme="minorHAnsi" w:hAnsiTheme="minorHAnsi"/>
          <w:i/>
          <w:iCs/>
        </w:rPr>
        <w:t xml:space="preserve">[Violation Risk Factor: Medium] [Time Horizon: Operations Assessment] </w:t>
      </w:r>
    </w:p>
    <w:p w:rsidR="001B4B38" w:rsidRPr="003F1CEA" w:rsidRDefault="001B4B38" w:rsidP="001B4B38">
      <w:pPr>
        <w:pStyle w:val="Requirement"/>
        <w:rPr>
          <w:rFonts w:asciiTheme="minorHAnsi" w:hAnsiTheme="minorHAnsi"/>
        </w:rPr>
      </w:pPr>
    </w:p>
    <w:p w:rsidR="001A10AF" w:rsidRPr="003F1CEA" w:rsidRDefault="00C128F5" w:rsidP="00EB7D49">
      <w:pPr>
        <w:pStyle w:val="Requirement"/>
        <w:rPr>
          <w:rFonts w:asciiTheme="minorHAnsi" w:hAnsiTheme="minorHAnsi"/>
        </w:rPr>
      </w:pPr>
      <w:r w:rsidRPr="003F1CEA">
        <w:rPr>
          <w:rFonts w:asciiTheme="minorHAnsi" w:hAnsiTheme="minorHAnsi"/>
          <w:b/>
        </w:rPr>
        <w:lastRenderedPageBreak/>
        <w:t>R1.1.</w:t>
      </w:r>
      <w:r w:rsidRPr="003F1CEA">
        <w:rPr>
          <w:rFonts w:asciiTheme="minorHAnsi" w:hAnsiTheme="minorHAnsi"/>
        </w:rPr>
        <w:t xml:space="preserve"> The synchronous generator or synchronous condenser operates for less than five percent of all hours during any calendar quarter. </w:t>
      </w:r>
    </w:p>
    <w:p w:rsidR="003315B3" w:rsidRPr="003F1CEA" w:rsidRDefault="003315B3">
      <w:pPr>
        <w:pStyle w:val="Requirement"/>
        <w:rPr>
          <w:rFonts w:asciiTheme="minorHAnsi" w:hAnsiTheme="minorHAnsi"/>
        </w:rPr>
      </w:pPr>
    </w:p>
    <w:p w:rsidR="001A10AF" w:rsidRPr="003F1CEA" w:rsidRDefault="00C128F5">
      <w:pPr>
        <w:pStyle w:val="Requirement"/>
        <w:rPr>
          <w:rFonts w:asciiTheme="minorHAnsi" w:hAnsiTheme="minorHAnsi"/>
        </w:rPr>
      </w:pPr>
      <w:r w:rsidRPr="003F1CEA">
        <w:rPr>
          <w:rFonts w:asciiTheme="minorHAnsi" w:hAnsiTheme="minorHAnsi"/>
          <w:b/>
        </w:rPr>
        <w:t>R1.2.</w:t>
      </w:r>
      <w:r w:rsidRPr="003F1CEA">
        <w:rPr>
          <w:rFonts w:asciiTheme="minorHAnsi" w:hAnsiTheme="minorHAnsi"/>
        </w:rPr>
        <w:t xml:space="preserve"> Performing maintenance and testing up to a maximum of seven calendar days per </w:t>
      </w:r>
      <w:r w:rsidR="00B3486C" w:rsidRPr="003F1CEA">
        <w:rPr>
          <w:rFonts w:asciiTheme="minorHAnsi" w:hAnsiTheme="minorHAnsi"/>
        </w:rPr>
        <w:tab/>
      </w:r>
      <w:r w:rsidR="00B3486C" w:rsidRPr="003F1CEA">
        <w:rPr>
          <w:rFonts w:asciiTheme="minorHAnsi" w:hAnsiTheme="minorHAnsi"/>
        </w:rPr>
        <w:tab/>
      </w:r>
      <w:r w:rsidR="005B5C7B" w:rsidRPr="003F1CEA">
        <w:rPr>
          <w:rFonts w:asciiTheme="minorHAnsi" w:hAnsiTheme="minorHAnsi"/>
        </w:rPr>
        <w:t>calendar quarter</w:t>
      </w:r>
    </w:p>
    <w:p w:rsidR="003315B3" w:rsidRPr="003F1CEA" w:rsidRDefault="003315B3">
      <w:pPr>
        <w:pStyle w:val="Requirement"/>
        <w:rPr>
          <w:rFonts w:asciiTheme="minorHAnsi" w:hAnsiTheme="minorHAnsi"/>
        </w:rPr>
      </w:pPr>
    </w:p>
    <w:p w:rsidR="001A10AF" w:rsidRPr="003F1CEA" w:rsidRDefault="00C128F5">
      <w:pPr>
        <w:pStyle w:val="Requirement"/>
        <w:rPr>
          <w:rFonts w:asciiTheme="minorHAnsi" w:hAnsiTheme="minorHAnsi"/>
        </w:rPr>
      </w:pPr>
      <w:r w:rsidRPr="003F1CEA">
        <w:rPr>
          <w:rFonts w:asciiTheme="minorHAnsi" w:hAnsiTheme="minorHAnsi"/>
          <w:b/>
        </w:rPr>
        <w:t>R1.3.</w:t>
      </w:r>
      <w:r w:rsidRPr="003F1CEA">
        <w:rPr>
          <w:rFonts w:asciiTheme="minorHAnsi" w:hAnsiTheme="minorHAnsi"/>
        </w:rPr>
        <w:t xml:space="preserve"> AVR exhibits instability due to abnormal system configuration. </w:t>
      </w:r>
    </w:p>
    <w:p w:rsidR="001A10AF" w:rsidRPr="003F1CEA" w:rsidRDefault="00C128F5">
      <w:pPr>
        <w:pStyle w:val="Requirement"/>
        <w:rPr>
          <w:rFonts w:asciiTheme="minorHAnsi" w:hAnsiTheme="minorHAnsi"/>
        </w:rPr>
      </w:pPr>
      <w:r w:rsidRPr="003F1CEA">
        <w:rPr>
          <w:rFonts w:asciiTheme="minorHAnsi" w:hAnsiTheme="minorHAnsi"/>
          <w:b/>
        </w:rPr>
        <w:t>R1.4.</w:t>
      </w:r>
      <w:r w:rsidRPr="003F1CEA">
        <w:rPr>
          <w:rFonts w:asciiTheme="minorHAnsi" w:hAnsiTheme="minorHAnsi"/>
        </w:rPr>
        <w:t xml:space="preserve"> Due to component failure, the AVR may be out of service up to 60 consecutive days for repair per incident. </w:t>
      </w:r>
    </w:p>
    <w:p w:rsidR="003315B3" w:rsidRPr="003F1CEA" w:rsidRDefault="003315B3">
      <w:pPr>
        <w:pStyle w:val="Requirement"/>
        <w:rPr>
          <w:rFonts w:asciiTheme="minorHAnsi" w:hAnsiTheme="minorHAnsi"/>
        </w:rPr>
      </w:pPr>
    </w:p>
    <w:p w:rsidR="001A10AF" w:rsidRPr="003F1CEA" w:rsidRDefault="00C128F5">
      <w:pPr>
        <w:pStyle w:val="Requirement"/>
        <w:rPr>
          <w:rFonts w:asciiTheme="minorHAnsi" w:hAnsiTheme="minorHAnsi"/>
        </w:rPr>
      </w:pPr>
      <w:r w:rsidRPr="003F1CEA">
        <w:rPr>
          <w:rFonts w:asciiTheme="minorHAnsi" w:hAnsiTheme="minorHAnsi"/>
          <w:b/>
        </w:rPr>
        <w:t>R1.5.</w:t>
      </w:r>
      <w:r w:rsidRPr="003F1CEA">
        <w:rPr>
          <w:rFonts w:asciiTheme="minorHAnsi" w:hAnsiTheme="minorHAnsi"/>
        </w:rPr>
        <w:t xml:space="preserve"> Due to a component failure, the AVR may be out of service up to one year provided the Generator Operator or Transmission Operator submits documentation identifying the need for time to obtain replacement parts and if required to schedule an outage. </w:t>
      </w:r>
    </w:p>
    <w:p w:rsidR="003315B3" w:rsidRPr="003F1CEA" w:rsidRDefault="003315B3">
      <w:pPr>
        <w:pStyle w:val="Requirement"/>
        <w:rPr>
          <w:rFonts w:asciiTheme="minorHAnsi" w:hAnsiTheme="minorHAnsi"/>
        </w:rPr>
      </w:pPr>
    </w:p>
    <w:p w:rsidR="001A10AF" w:rsidRPr="003F1CEA" w:rsidRDefault="00C128F5">
      <w:pPr>
        <w:pStyle w:val="Requirement"/>
        <w:rPr>
          <w:rFonts w:asciiTheme="minorHAnsi" w:hAnsiTheme="minorHAnsi"/>
        </w:rPr>
      </w:pPr>
      <w:r w:rsidRPr="003F1CEA">
        <w:rPr>
          <w:rFonts w:asciiTheme="minorHAnsi" w:hAnsiTheme="minorHAnsi"/>
          <w:b/>
        </w:rPr>
        <w:t>R1.6.</w:t>
      </w:r>
      <w:r w:rsidRPr="003F1CEA">
        <w:rPr>
          <w:rFonts w:asciiTheme="minorHAnsi" w:hAnsiTheme="minorHAnsi"/>
        </w:rPr>
        <w:t xml:space="preserve"> Due to a component failure, the AVR may be out of service up to 24 months provided the Generator Operator or Transmission Operator submits documentation identifying the need for time for excitation system replacement (replace the AVR, limiters, and controls but not necessarily the power source and power bridge) and to schedule an outage. </w:t>
      </w:r>
    </w:p>
    <w:p w:rsidR="003315B3" w:rsidRPr="003F1CEA" w:rsidRDefault="003315B3">
      <w:pPr>
        <w:pStyle w:val="Requirement"/>
        <w:rPr>
          <w:rFonts w:asciiTheme="minorHAnsi" w:hAnsiTheme="minorHAnsi"/>
        </w:rPr>
      </w:pPr>
    </w:p>
    <w:p w:rsidR="001A10AF" w:rsidRPr="003F1CEA" w:rsidRDefault="00C128F5">
      <w:pPr>
        <w:pStyle w:val="Requirement"/>
        <w:rPr>
          <w:rFonts w:asciiTheme="minorHAnsi" w:hAnsiTheme="minorHAnsi"/>
        </w:rPr>
      </w:pPr>
      <w:r w:rsidRPr="003F1CEA">
        <w:rPr>
          <w:rFonts w:asciiTheme="minorHAnsi" w:hAnsiTheme="minorHAnsi"/>
          <w:b/>
        </w:rPr>
        <w:t>R1.7</w:t>
      </w:r>
      <w:r w:rsidRPr="003F1CEA">
        <w:rPr>
          <w:rFonts w:asciiTheme="minorHAnsi" w:hAnsiTheme="minorHAnsi"/>
        </w:rPr>
        <w:t xml:space="preserve">. </w:t>
      </w:r>
      <w:proofErr w:type="gramStart"/>
      <w:r w:rsidRPr="003F1CEA">
        <w:rPr>
          <w:rFonts w:asciiTheme="minorHAnsi" w:hAnsiTheme="minorHAnsi"/>
        </w:rPr>
        <w:t>The</w:t>
      </w:r>
      <w:proofErr w:type="gramEnd"/>
      <w:r w:rsidRPr="003F1CEA">
        <w:rPr>
          <w:rFonts w:asciiTheme="minorHAnsi" w:hAnsiTheme="minorHAnsi"/>
        </w:rPr>
        <w:t xml:space="preserve"> synchronous generator or synchronous condenser has not achieved Commercial Operation. </w:t>
      </w:r>
    </w:p>
    <w:p w:rsidR="003315B3" w:rsidRPr="003F1CEA" w:rsidRDefault="003315B3">
      <w:pPr>
        <w:pStyle w:val="Requirement"/>
        <w:rPr>
          <w:rFonts w:asciiTheme="minorHAnsi" w:hAnsiTheme="minorHAnsi"/>
        </w:rPr>
      </w:pPr>
    </w:p>
    <w:p w:rsidR="003315B3" w:rsidRPr="003F1CEA" w:rsidRDefault="00C128F5">
      <w:pPr>
        <w:pStyle w:val="Requirement"/>
        <w:rPr>
          <w:rFonts w:asciiTheme="minorHAnsi" w:hAnsiTheme="minorHAnsi"/>
        </w:rPr>
      </w:pPr>
      <w:r w:rsidRPr="003F1CEA">
        <w:rPr>
          <w:rFonts w:asciiTheme="minorHAnsi" w:hAnsiTheme="minorHAnsi"/>
          <w:b/>
        </w:rPr>
        <w:t>R1.8.</w:t>
      </w:r>
      <w:r w:rsidRPr="003F1CEA">
        <w:rPr>
          <w:rFonts w:asciiTheme="minorHAnsi" w:hAnsiTheme="minorHAnsi"/>
        </w:rPr>
        <w:t xml:space="preserve"> </w:t>
      </w:r>
      <w:proofErr w:type="gramStart"/>
      <w:r w:rsidRPr="003F1CEA">
        <w:rPr>
          <w:rFonts w:asciiTheme="minorHAnsi" w:hAnsiTheme="minorHAnsi"/>
        </w:rPr>
        <w:t>The</w:t>
      </w:r>
      <w:proofErr w:type="gramEnd"/>
      <w:r w:rsidRPr="003F1CEA">
        <w:rPr>
          <w:rFonts w:asciiTheme="minorHAnsi" w:hAnsiTheme="minorHAnsi"/>
        </w:rPr>
        <w:t xml:space="preserve"> Transmission Operator directs the Generator Operator to operate the synchronous generator, and the AVR is unavailable for service. </w:t>
      </w:r>
    </w:p>
    <w:p w:rsidR="003315B3" w:rsidRPr="003F1CEA" w:rsidRDefault="003315B3">
      <w:pPr>
        <w:pStyle w:val="Requirement"/>
        <w:rPr>
          <w:rFonts w:asciiTheme="minorHAnsi" w:hAnsiTheme="minorHAnsi"/>
        </w:rPr>
      </w:pPr>
    </w:p>
    <w:p w:rsidR="001A10AF" w:rsidRPr="003F1CEA" w:rsidRDefault="00C128F5">
      <w:pPr>
        <w:pStyle w:val="Requirement"/>
        <w:rPr>
          <w:rFonts w:asciiTheme="minorHAnsi" w:hAnsiTheme="minorHAnsi"/>
        </w:rPr>
      </w:pPr>
      <w:r w:rsidRPr="003F1CEA">
        <w:rPr>
          <w:rFonts w:asciiTheme="minorHAnsi" w:hAnsiTheme="minorHAnsi"/>
          <w:b/>
        </w:rPr>
        <w:t>R1.9.</w:t>
      </w:r>
      <w:r w:rsidRPr="003F1CEA">
        <w:rPr>
          <w:rFonts w:asciiTheme="minorHAnsi" w:hAnsiTheme="minorHAnsi"/>
        </w:rPr>
        <w:t xml:space="preserve"> </w:t>
      </w:r>
      <w:proofErr w:type="gramStart"/>
      <w:r w:rsidRPr="003F1CEA">
        <w:rPr>
          <w:rFonts w:asciiTheme="minorHAnsi" w:hAnsiTheme="minorHAnsi"/>
        </w:rPr>
        <w:t>The</w:t>
      </w:r>
      <w:proofErr w:type="gramEnd"/>
      <w:r w:rsidRPr="003F1CEA">
        <w:rPr>
          <w:rFonts w:asciiTheme="minorHAnsi" w:hAnsiTheme="minorHAnsi"/>
        </w:rPr>
        <w:t xml:space="preserve"> Reliability Coordinator directs Transmission Operator to operate the synchronous condenser, and the AVR is unavailable for service. </w:t>
      </w:r>
    </w:p>
    <w:p w:rsidR="003315B3" w:rsidRPr="003F1CEA" w:rsidRDefault="003315B3">
      <w:pPr>
        <w:pStyle w:val="Requirement"/>
        <w:rPr>
          <w:rFonts w:asciiTheme="minorHAnsi" w:hAnsiTheme="minorHAnsi"/>
        </w:rPr>
      </w:pPr>
    </w:p>
    <w:p w:rsidR="00C128F5" w:rsidRPr="003F1CEA" w:rsidRDefault="00C128F5">
      <w:pPr>
        <w:pStyle w:val="Requirement"/>
        <w:rPr>
          <w:rFonts w:asciiTheme="minorHAnsi" w:hAnsiTheme="minorHAnsi"/>
        </w:rPr>
      </w:pPr>
      <w:r w:rsidRPr="003F1CEA">
        <w:rPr>
          <w:rFonts w:asciiTheme="minorHAnsi" w:hAnsiTheme="minorHAnsi"/>
          <w:b/>
        </w:rPr>
        <w:t>R1.10.</w:t>
      </w:r>
      <w:r w:rsidRPr="003F1CEA">
        <w:rPr>
          <w:rFonts w:asciiTheme="minorHAnsi" w:hAnsiTheme="minorHAnsi"/>
        </w:rPr>
        <w:t xml:space="preserve"> If AVR exhibits instability due to operation of a Load Tap Changer (LTC) transformer in the area, </w:t>
      </w:r>
      <w:r w:rsidR="003C590C" w:rsidRPr="003F1CEA">
        <w:rPr>
          <w:rFonts w:asciiTheme="minorHAnsi" w:hAnsiTheme="minorHAnsi"/>
        </w:rPr>
        <w:tab/>
      </w:r>
      <w:r w:rsidRPr="003F1CEA">
        <w:rPr>
          <w:rFonts w:asciiTheme="minorHAnsi" w:hAnsiTheme="minorHAnsi"/>
        </w:rPr>
        <w:t xml:space="preserve">the Transmission Operator may authorize the Generator Operator to operate the excitation system in modes other than automatic voltage control until the system configuration changes. </w:t>
      </w:r>
    </w:p>
    <w:p w:rsidR="003315B3" w:rsidRPr="003F1CEA" w:rsidRDefault="003315B3">
      <w:pPr>
        <w:pStyle w:val="Requirement"/>
        <w:rPr>
          <w:rFonts w:asciiTheme="minorHAnsi" w:hAnsiTheme="minorHAnsi"/>
        </w:rPr>
      </w:pPr>
    </w:p>
    <w:p w:rsidR="003315B3" w:rsidRPr="003F1CEA" w:rsidRDefault="003315B3">
      <w:pPr>
        <w:pStyle w:val="Requirement"/>
        <w:rPr>
          <w:rFonts w:asciiTheme="minorHAnsi" w:hAnsiTheme="minorHAnsi"/>
        </w:rPr>
      </w:pPr>
    </w:p>
    <w:p w:rsidR="001E5787" w:rsidRDefault="001E5787" w:rsidP="001E5787">
      <w:pPr>
        <w:widowControl w:val="0"/>
        <w:spacing w:line="240" w:lineRule="atLeast"/>
        <w:rPr>
          <w:rFonts w:ascii="Calibri" w:hAnsi="Calibri" w:cs="Calibri"/>
          <w:b/>
          <w:bCs/>
          <w:color w:val="264D74"/>
          <w:sz w:val="24"/>
          <w:szCs w:val="24"/>
        </w:rPr>
      </w:pPr>
      <w:bookmarkStart w:id="3" w:name="R1"/>
      <w:bookmarkEnd w:id="3"/>
      <w:r>
        <w:rPr>
          <w:rFonts w:ascii="Calibri" w:hAnsi="Calibri" w:cs="Calibri"/>
          <w:b/>
          <w:bCs/>
          <w:sz w:val="24"/>
          <w:szCs w:val="24"/>
        </w:rPr>
        <w:t>Registered Entity Response (</w:t>
      </w:r>
      <w:r>
        <w:rPr>
          <w:rFonts w:ascii="Calibri" w:hAnsi="Calibri" w:cs="Calibri"/>
          <w:b/>
          <w:bCs/>
          <w:color w:val="FF0000"/>
          <w:sz w:val="24"/>
          <w:szCs w:val="24"/>
        </w:rPr>
        <w:t>Required</w:t>
      </w:r>
      <w:r>
        <w:rPr>
          <w:rFonts w:ascii="Calibri" w:hAnsi="Calibri" w:cs="Calibri"/>
          <w:b/>
          <w:bCs/>
          <w:sz w:val="24"/>
          <w:szCs w:val="24"/>
        </w:rPr>
        <w:t>):</w:t>
      </w:r>
      <w:r>
        <w:rPr>
          <w:rFonts w:ascii="Calibri" w:hAnsi="Calibri" w:cs="Calibri"/>
          <w:b/>
          <w:bCs/>
          <w:color w:val="264D74"/>
          <w:sz w:val="24"/>
          <w:szCs w:val="24"/>
        </w:rPr>
        <w:t xml:space="preserve"> </w:t>
      </w:r>
    </w:p>
    <w:p w:rsidR="001E5787" w:rsidRDefault="001E5787" w:rsidP="001E5787">
      <w:pPr>
        <w:widowControl w:val="0"/>
        <w:spacing w:line="240" w:lineRule="atLeast"/>
        <w:rPr>
          <w:rFonts w:ascii="Calibri" w:hAnsi="Calibri" w:cs="Calibri"/>
          <w:b/>
          <w:bCs/>
          <w:color w:val="264D74"/>
          <w:sz w:val="24"/>
          <w:szCs w:val="24"/>
        </w:rPr>
      </w:pPr>
      <w:r>
        <w:rPr>
          <w:rFonts w:ascii="Calibri" w:eastAsia="Calibri" w:hAnsi="Calibri" w:cs="Calibri"/>
          <w:sz w:val="24"/>
          <w:szCs w:val="24"/>
        </w:rPr>
        <w:t xml:space="preserve">Describe, in narrative form, how you meet compliance with this requirement. </w:t>
      </w:r>
    </w:p>
    <w:p w:rsidR="001E5787" w:rsidRDefault="001E5787" w:rsidP="001E5787">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sz w:val="24"/>
          <w:szCs w:val="24"/>
        </w:rPr>
      </w:pPr>
    </w:p>
    <w:p w:rsidR="001E5787" w:rsidRDefault="001E5787" w:rsidP="001E5787">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40" w:lineRule="atLeast"/>
        <w:ind w:left="90"/>
        <w:rPr>
          <w:rFonts w:ascii="Calibri" w:hAnsi="Calibri" w:cs="Calibri"/>
          <w:bCs/>
          <w:sz w:val="24"/>
          <w:szCs w:val="24"/>
        </w:rPr>
      </w:pPr>
    </w:p>
    <w:p w:rsidR="001E5787" w:rsidRDefault="001E5787" w:rsidP="001E5787">
      <w:pPr>
        <w:widowControl w:val="0"/>
        <w:spacing w:line="240" w:lineRule="atLeast"/>
        <w:rPr>
          <w:rFonts w:ascii="Calibri" w:hAnsi="Calibri" w:cs="Calibri"/>
          <w:b/>
          <w:bCs/>
          <w:sz w:val="24"/>
          <w:szCs w:val="24"/>
        </w:rPr>
      </w:pPr>
    </w:p>
    <w:p w:rsidR="001E5787" w:rsidRDefault="001E5787" w:rsidP="005D05BB">
      <w:pPr>
        <w:pStyle w:val="RqtSection"/>
        <w:keepNext/>
        <w:rPr>
          <w:rFonts w:cstheme="minorHAnsi"/>
          <w:i/>
          <w:iCs/>
        </w:rPr>
      </w:pPr>
      <w:r>
        <w:lastRenderedPageBreak/>
        <w:t xml:space="preserve">Registered Entity </w:t>
      </w:r>
      <w:r w:rsidRPr="00FF7C2E">
        <w:rPr>
          <w:rFonts w:ascii="Calibri" w:hAnsi="Calibri"/>
          <w:bCs w:val="0"/>
        </w:rPr>
        <w:t>Evidence</w:t>
      </w:r>
      <w:r w:rsidRPr="00FF7C2E">
        <w:rPr>
          <w:rFonts w:ascii="Calibri" w:hAnsi="Calibri"/>
          <w:bCs w:val="0"/>
          <w:color w:val="FF0000"/>
        </w:rPr>
        <w:t xml:space="preserve"> </w:t>
      </w:r>
      <w:r w:rsidR="003F1CEA" w:rsidRPr="005C3EC5">
        <w:rPr>
          <w:rFonts w:ascii="Calibri" w:hAnsi="Calibri"/>
          <w:bCs w:val="0"/>
          <w:color w:val="FF0000"/>
        </w:rPr>
        <w:t>(</w:t>
      </w:r>
      <w:r w:rsidR="003F1CEA" w:rsidRPr="00FF7C2E">
        <w:rPr>
          <w:rFonts w:ascii="Calibri" w:hAnsi="Calibri"/>
          <w:bCs w:val="0"/>
          <w:color w:val="FF0000"/>
        </w:rPr>
        <w:t>Required</w:t>
      </w:r>
      <w:r w:rsidR="003F1CEA" w:rsidRPr="005C3EC5">
        <w:rPr>
          <w:rFonts w:ascii="Calibri" w:hAnsi="Calibri"/>
          <w:bCs w:val="0"/>
          <w:color w:val="FF0000"/>
        </w:rPr>
        <w:t>; Insert additional rows if needed)</w:t>
      </w:r>
      <w:r w:rsidR="003F1CEA" w:rsidRPr="00EF49EC">
        <w:rPr>
          <w:rFonts w:ascii="Calibri" w:hAnsi="Calibri"/>
          <w:b w:val="0"/>
          <w:bCs w:val="0"/>
          <w:color w:val="000000"/>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E5787" w:rsidTr="001E5787">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rsidR="001E5787" w:rsidRDefault="001E5787" w:rsidP="005D05BB">
            <w:pPr>
              <w:keepNext/>
              <w:tabs>
                <w:tab w:val="left" w:pos="0"/>
              </w:tabs>
              <w:autoSpaceDE/>
              <w:adjustRightInd/>
              <w:rPr>
                <w:rFonts w:asciiTheme="minorHAnsi" w:hAnsiTheme="minorHAnsi" w:cs="Times New Roman"/>
                <w:b/>
                <w:bCs/>
              </w:rPr>
            </w:pPr>
            <w:r>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1E5787" w:rsidTr="001E5787">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rsidR="001E5787" w:rsidRDefault="001E5787" w:rsidP="005D05BB">
            <w:pPr>
              <w:keepNext/>
              <w:tabs>
                <w:tab w:val="left" w:pos="0"/>
              </w:tabs>
              <w:autoSpaceDE/>
              <w:adjustRightInd/>
              <w:jc w:val="center"/>
              <w:rPr>
                <w:rFonts w:asciiTheme="minorHAnsi" w:hAnsiTheme="minorHAnsi" w:cs="Times New Roman"/>
                <w:b/>
                <w:bCs/>
              </w:rPr>
            </w:pPr>
            <w:r>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rsidR="001E5787" w:rsidRDefault="001E5787" w:rsidP="005D05BB">
            <w:pPr>
              <w:keepNext/>
              <w:tabs>
                <w:tab w:val="left" w:pos="0"/>
              </w:tabs>
              <w:autoSpaceDE/>
              <w:adjustRightInd/>
              <w:jc w:val="center"/>
              <w:rPr>
                <w:rFonts w:asciiTheme="minorHAnsi" w:hAnsiTheme="minorHAnsi" w:cs="Times New Roman"/>
                <w:b/>
                <w:bCs/>
              </w:rPr>
            </w:pPr>
            <w:r>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rsidR="001E5787" w:rsidRDefault="001E5787" w:rsidP="005D05BB">
            <w:pPr>
              <w:keepNext/>
              <w:tabs>
                <w:tab w:val="left" w:pos="0"/>
              </w:tabs>
              <w:autoSpaceDE/>
              <w:adjustRightInd/>
              <w:jc w:val="center"/>
              <w:rPr>
                <w:rFonts w:asciiTheme="minorHAnsi" w:hAnsiTheme="minorHAnsi" w:cs="Times New Roman"/>
                <w:b/>
                <w:bCs/>
              </w:rPr>
            </w:pPr>
            <w:r>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rsidR="001E5787" w:rsidRDefault="001E5787" w:rsidP="005D05BB">
            <w:pPr>
              <w:keepNext/>
              <w:tabs>
                <w:tab w:val="left" w:pos="0"/>
              </w:tabs>
              <w:autoSpaceDE/>
              <w:adjustRightInd/>
              <w:jc w:val="center"/>
              <w:rPr>
                <w:rFonts w:asciiTheme="minorHAnsi" w:hAnsiTheme="minorHAnsi" w:cs="Times New Roman"/>
                <w:b/>
                <w:bCs/>
              </w:rPr>
            </w:pPr>
            <w:r>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rsidR="001E5787" w:rsidRDefault="001E5787" w:rsidP="005D05BB">
            <w:pPr>
              <w:keepNext/>
              <w:tabs>
                <w:tab w:val="left" w:pos="0"/>
              </w:tabs>
              <w:autoSpaceDE/>
              <w:adjustRightInd/>
              <w:jc w:val="center"/>
              <w:rPr>
                <w:rFonts w:asciiTheme="minorHAnsi" w:hAnsiTheme="minorHAnsi" w:cs="Times New Roman"/>
                <w:b/>
                <w:bCs/>
              </w:rPr>
            </w:pPr>
            <w:r>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rsidR="001E5787" w:rsidRDefault="001E5787" w:rsidP="005D05BB">
            <w:pPr>
              <w:keepNext/>
              <w:tabs>
                <w:tab w:val="left" w:pos="0"/>
              </w:tabs>
              <w:autoSpaceDE/>
              <w:adjustRightInd/>
              <w:jc w:val="center"/>
              <w:rPr>
                <w:rFonts w:asciiTheme="minorHAnsi" w:hAnsiTheme="minorHAnsi" w:cs="Times New Roman"/>
                <w:b/>
                <w:bCs/>
              </w:rPr>
            </w:pPr>
            <w:r>
              <w:rPr>
                <w:rFonts w:asciiTheme="minorHAnsi" w:hAnsiTheme="minorHAnsi" w:cs="Times New Roman"/>
                <w:b/>
                <w:bCs/>
              </w:rPr>
              <w:t>Description of Applicability of Document</w:t>
            </w:r>
          </w:p>
        </w:tc>
      </w:tr>
      <w:tr w:rsidR="001E5787" w:rsidTr="001E5787">
        <w:tc>
          <w:tcPr>
            <w:tcW w:w="2340" w:type="dxa"/>
            <w:tcBorders>
              <w:top w:val="single" w:sz="4" w:space="0" w:color="auto"/>
              <w:left w:val="single" w:sz="4" w:space="0" w:color="auto"/>
              <w:bottom w:val="single" w:sz="4" w:space="0" w:color="auto"/>
              <w:right w:val="single" w:sz="4" w:space="0" w:color="auto"/>
            </w:tcBorders>
            <w:shd w:val="clear" w:color="auto" w:fill="CDFFCD"/>
          </w:tcPr>
          <w:p w:rsidR="001E5787" w:rsidRDefault="001E5787">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rsidR="001E5787" w:rsidRDefault="001E5787">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rsidR="001E5787" w:rsidRDefault="001E5787">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rsidR="001E5787" w:rsidRDefault="001E5787">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rsidR="001E5787" w:rsidRDefault="001E5787">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rsidR="001E5787" w:rsidRDefault="001E5787">
            <w:pPr>
              <w:autoSpaceDE/>
              <w:adjustRightInd/>
              <w:jc w:val="both"/>
              <w:rPr>
                <w:rFonts w:asciiTheme="minorHAnsi" w:hAnsiTheme="minorHAnsi" w:cs="Times New Roman"/>
                <w:szCs w:val="22"/>
              </w:rPr>
            </w:pPr>
          </w:p>
        </w:tc>
      </w:tr>
      <w:tr w:rsidR="001E5787" w:rsidTr="001E5787">
        <w:tc>
          <w:tcPr>
            <w:tcW w:w="2340" w:type="dxa"/>
            <w:tcBorders>
              <w:top w:val="single" w:sz="4" w:space="0" w:color="auto"/>
              <w:left w:val="single" w:sz="4" w:space="0" w:color="auto"/>
              <w:bottom w:val="single" w:sz="4" w:space="0" w:color="auto"/>
              <w:right w:val="single" w:sz="4" w:space="0" w:color="auto"/>
            </w:tcBorders>
            <w:shd w:val="clear" w:color="auto" w:fill="CDFFCD"/>
          </w:tcPr>
          <w:p w:rsidR="001E5787" w:rsidRDefault="001E5787">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rsidR="001E5787" w:rsidRDefault="001E5787">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rsidR="001E5787" w:rsidRDefault="001E5787">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rsidR="001E5787" w:rsidRDefault="001E5787">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rsidR="001E5787" w:rsidRDefault="001E5787">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rsidR="001E5787" w:rsidRDefault="001E5787">
            <w:pPr>
              <w:autoSpaceDE/>
              <w:adjustRightInd/>
              <w:jc w:val="both"/>
              <w:rPr>
                <w:rFonts w:asciiTheme="minorHAnsi" w:hAnsiTheme="minorHAnsi" w:cs="Times New Roman"/>
                <w:szCs w:val="22"/>
              </w:rPr>
            </w:pPr>
          </w:p>
        </w:tc>
      </w:tr>
      <w:tr w:rsidR="001E5787" w:rsidTr="001E5787">
        <w:tc>
          <w:tcPr>
            <w:tcW w:w="2340" w:type="dxa"/>
            <w:tcBorders>
              <w:top w:val="single" w:sz="4" w:space="0" w:color="auto"/>
              <w:left w:val="single" w:sz="4" w:space="0" w:color="auto"/>
              <w:bottom w:val="single" w:sz="4" w:space="0" w:color="auto"/>
              <w:right w:val="single" w:sz="4" w:space="0" w:color="auto"/>
            </w:tcBorders>
            <w:shd w:val="clear" w:color="auto" w:fill="CDFFCD"/>
          </w:tcPr>
          <w:p w:rsidR="001E5787" w:rsidRDefault="001E5787">
            <w:pPr>
              <w:autoSpaceDE/>
              <w:adjustRightInd/>
              <w:jc w:val="both"/>
              <w:rPr>
                <w:rFonts w:asciiTheme="minorHAnsi" w:hAnsiTheme="minorHAnsi" w:cs="Times New Roman"/>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rsidR="001E5787" w:rsidRDefault="001E5787">
            <w:pPr>
              <w:autoSpaceDE/>
              <w:adjustRightInd/>
              <w:jc w:val="both"/>
              <w:rPr>
                <w:rFonts w:asciiTheme="minorHAnsi" w:hAnsiTheme="minorHAnsi" w:cs="Times New Roman"/>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rsidR="001E5787" w:rsidRDefault="001E5787">
            <w:pPr>
              <w:autoSpaceDE/>
              <w:adjustRightInd/>
              <w:jc w:val="both"/>
              <w:rPr>
                <w:rFonts w:asciiTheme="minorHAnsi" w:hAnsiTheme="minorHAnsi" w:cs="Times New Roman"/>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rsidR="001E5787" w:rsidRDefault="001E5787">
            <w:pPr>
              <w:autoSpaceDE/>
              <w:adjustRightInd/>
              <w:jc w:val="both"/>
              <w:rPr>
                <w:rFonts w:asciiTheme="minorHAnsi" w:hAnsiTheme="minorHAnsi" w:cs="Times New Roman"/>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rsidR="001E5787" w:rsidRDefault="001E5787">
            <w:pPr>
              <w:autoSpaceDE/>
              <w:adjustRightInd/>
              <w:jc w:val="both"/>
              <w:rPr>
                <w:rFonts w:asciiTheme="minorHAnsi" w:hAnsiTheme="minorHAnsi" w:cs="Times New Roman"/>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rsidR="001E5787" w:rsidRDefault="001E5787">
            <w:pPr>
              <w:autoSpaceDE/>
              <w:adjustRightInd/>
              <w:jc w:val="both"/>
              <w:rPr>
                <w:rFonts w:asciiTheme="minorHAnsi" w:hAnsiTheme="minorHAnsi" w:cs="Times New Roman"/>
                <w:szCs w:val="22"/>
              </w:rPr>
            </w:pPr>
          </w:p>
        </w:tc>
      </w:tr>
    </w:tbl>
    <w:p w:rsidR="001E5787" w:rsidRDefault="001E5787" w:rsidP="001E5787">
      <w:pPr>
        <w:widowControl w:val="0"/>
        <w:rPr>
          <w:rFonts w:asciiTheme="minorHAnsi" w:hAnsiTheme="minorHAnsi" w:cs="Times New Roman"/>
          <w:color w:val="000000"/>
        </w:rPr>
      </w:pPr>
    </w:p>
    <w:p w:rsidR="001E5787" w:rsidRDefault="001E5787" w:rsidP="001E5787">
      <w:pPr>
        <w:pStyle w:val="RqtSection"/>
      </w:pPr>
      <w:r>
        <w:t xml:space="preserve">Audit Team Evidence Reviewed </w:t>
      </w:r>
      <w:r>
        <w:rPr>
          <w:color w:val="FF0000"/>
        </w:rPr>
        <w:t>(</w:t>
      </w:r>
      <w:r>
        <w:rPr>
          <w:rFonts w:eastAsia="Calibri"/>
          <w:color w:val="FF0000"/>
          <w:sz w:val="22"/>
          <w:szCs w:val="22"/>
        </w:rPr>
        <w:t>This section to be completed by the Compliance Enforcement Authority)</w:t>
      </w:r>
      <w:r>
        <w:rPr>
          <w:rFonts w:eastAsia="Calibri"/>
          <w:sz w:val="22"/>
          <w:szCs w:val="22"/>
        </w:rPr>
        <w:t>:</w:t>
      </w:r>
    </w:p>
    <w:tbl>
      <w:tblPr>
        <w:tblStyle w:val="TableGrid"/>
        <w:tblW w:w="0" w:type="auto"/>
        <w:tblLook w:val="04A0" w:firstRow="1" w:lastRow="0" w:firstColumn="1" w:lastColumn="0" w:noHBand="0" w:noVBand="1"/>
      </w:tblPr>
      <w:tblGrid>
        <w:gridCol w:w="11016"/>
      </w:tblGrid>
      <w:tr w:rsidR="001E5787" w:rsidTr="001E5787">
        <w:tc>
          <w:tcPr>
            <w:tcW w:w="11016" w:type="dxa"/>
            <w:tcBorders>
              <w:top w:val="single" w:sz="4" w:space="0" w:color="auto"/>
              <w:left w:val="single" w:sz="4" w:space="0" w:color="auto"/>
              <w:bottom w:val="single" w:sz="4" w:space="0" w:color="auto"/>
              <w:right w:val="single" w:sz="4" w:space="0" w:color="auto"/>
            </w:tcBorders>
          </w:tcPr>
          <w:p w:rsidR="001E5787" w:rsidRDefault="001E5787">
            <w:pPr>
              <w:widowControl w:val="0"/>
              <w:rPr>
                <w:rFonts w:asciiTheme="minorHAnsi" w:hAnsiTheme="minorHAnsi" w:cs="Times New Roman"/>
                <w:szCs w:val="22"/>
              </w:rPr>
            </w:pPr>
          </w:p>
        </w:tc>
      </w:tr>
      <w:tr w:rsidR="001E5787" w:rsidTr="001E5787">
        <w:tc>
          <w:tcPr>
            <w:tcW w:w="11016" w:type="dxa"/>
            <w:tcBorders>
              <w:top w:val="single" w:sz="4" w:space="0" w:color="auto"/>
              <w:left w:val="single" w:sz="4" w:space="0" w:color="auto"/>
              <w:bottom w:val="single" w:sz="4" w:space="0" w:color="auto"/>
              <w:right w:val="single" w:sz="4" w:space="0" w:color="auto"/>
            </w:tcBorders>
          </w:tcPr>
          <w:p w:rsidR="001E5787" w:rsidRDefault="001E5787">
            <w:pPr>
              <w:widowControl w:val="0"/>
              <w:rPr>
                <w:rFonts w:asciiTheme="minorHAnsi" w:hAnsiTheme="minorHAnsi" w:cs="Times New Roman"/>
                <w:szCs w:val="22"/>
              </w:rPr>
            </w:pPr>
          </w:p>
        </w:tc>
      </w:tr>
      <w:tr w:rsidR="001E5787" w:rsidTr="001E5787">
        <w:tc>
          <w:tcPr>
            <w:tcW w:w="11016" w:type="dxa"/>
            <w:tcBorders>
              <w:top w:val="single" w:sz="4" w:space="0" w:color="auto"/>
              <w:left w:val="single" w:sz="4" w:space="0" w:color="auto"/>
              <w:bottom w:val="single" w:sz="4" w:space="0" w:color="auto"/>
              <w:right w:val="single" w:sz="4" w:space="0" w:color="auto"/>
            </w:tcBorders>
          </w:tcPr>
          <w:p w:rsidR="001E5787" w:rsidRDefault="001E5787">
            <w:pPr>
              <w:widowControl w:val="0"/>
              <w:rPr>
                <w:rFonts w:asciiTheme="minorHAnsi" w:hAnsiTheme="minorHAnsi" w:cs="Times New Roman"/>
                <w:szCs w:val="22"/>
              </w:rPr>
            </w:pPr>
          </w:p>
        </w:tc>
      </w:tr>
    </w:tbl>
    <w:p w:rsidR="003315B3" w:rsidRDefault="003315B3" w:rsidP="003315B3">
      <w:pPr>
        <w:pStyle w:val="NoSpacing"/>
        <w:rPr>
          <w:rFonts w:asciiTheme="minorHAnsi" w:hAnsiTheme="minorHAnsi"/>
          <w:b/>
          <w:sz w:val="24"/>
        </w:rPr>
      </w:pPr>
    </w:p>
    <w:p w:rsidR="00A83A70" w:rsidRPr="003315B3" w:rsidRDefault="00A83A70" w:rsidP="00A07E6C">
      <w:pPr>
        <w:pStyle w:val="NoSpacing"/>
        <w:keepNext/>
        <w:rPr>
          <w:rFonts w:asciiTheme="minorHAnsi" w:hAnsiTheme="minorHAnsi"/>
          <w:b/>
          <w:sz w:val="24"/>
        </w:rPr>
      </w:pPr>
      <w:r w:rsidRPr="003315B3">
        <w:rPr>
          <w:rFonts w:asciiTheme="minorHAnsi" w:hAnsiTheme="minorHAnsi"/>
          <w:b/>
          <w:sz w:val="24"/>
        </w:rPr>
        <w:t xml:space="preserve">Compliance Assessment Approach Specific to </w:t>
      </w:r>
      <w:r w:rsidR="00976E13" w:rsidRPr="003315B3">
        <w:rPr>
          <w:rFonts w:asciiTheme="minorHAnsi" w:hAnsiTheme="minorHAnsi"/>
          <w:b/>
          <w:sz w:val="24"/>
        </w:rPr>
        <w:t>VAR-002-</w:t>
      </w:r>
      <w:r w:rsidR="001155B1" w:rsidRPr="003315B3">
        <w:rPr>
          <w:rFonts w:asciiTheme="minorHAnsi" w:hAnsiTheme="minorHAnsi"/>
          <w:b/>
          <w:sz w:val="24"/>
        </w:rPr>
        <w:t>WECC-</w:t>
      </w:r>
      <w:r w:rsidR="002845A1">
        <w:rPr>
          <w:rFonts w:asciiTheme="minorHAnsi" w:hAnsiTheme="minorHAnsi"/>
          <w:b/>
          <w:sz w:val="24"/>
        </w:rPr>
        <w:t>2</w:t>
      </w:r>
      <w:r w:rsidR="00976E13" w:rsidRPr="003315B3">
        <w:rPr>
          <w:rFonts w:asciiTheme="minorHAnsi" w:hAnsiTheme="minorHAnsi"/>
          <w:b/>
          <w:sz w:val="24"/>
        </w:rPr>
        <w:t xml:space="preserve"> R1</w:t>
      </w:r>
    </w:p>
    <w:p w:rsidR="00F7585F" w:rsidRPr="003315B3" w:rsidRDefault="00F7585F" w:rsidP="00A07E6C">
      <w:pPr>
        <w:pStyle w:val="NoSpacing"/>
        <w:keepNext/>
        <w:rPr>
          <w:rFonts w:asciiTheme="minorHAnsi" w:hAnsiTheme="minorHAnsi" w:cstheme="minorHAnsi"/>
          <w:b/>
          <w:i/>
          <w:color w:val="FF0000"/>
          <w:sz w:val="24"/>
        </w:rPr>
      </w:pPr>
      <w:r w:rsidRPr="003315B3">
        <w:rPr>
          <w:rFonts w:asciiTheme="minorHAnsi" w:hAnsiTheme="minorHAnsi" w:cstheme="minorHAnsi"/>
          <w:b/>
          <w:i/>
          <w:color w:val="FF0000"/>
          <w:sz w:val="24"/>
        </w:rPr>
        <w:t>This section must be completed by the Compliance Enforcement Authority.</w:t>
      </w:r>
    </w:p>
    <w:p w:rsidR="00F7585F" w:rsidRPr="003315B3" w:rsidRDefault="00F7585F" w:rsidP="00A07E6C">
      <w:pPr>
        <w:pStyle w:val="NoSpacing"/>
        <w:keepNext/>
        <w:rPr>
          <w:rFonts w:asciiTheme="minorHAnsi" w:hAnsiTheme="minorHAnsi" w:cstheme="minorHAnsi"/>
          <w:sz w:val="24"/>
        </w:rPr>
      </w:pPr>
      <w:r w:rsidRPr="003315B3">
        <w:rPr>
          <w:rFonts w:asciiTheme="minorHAnsi" w:hAnsiTheme="minorHAnsi" w:cstheme="minorHAnsi"/>
          <w:sz w:val="24"/>
        </w:rPr>
        <w:t>Review the evidence to verify the entity has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F7585F" w:rsidRPr="00445269" w:rsidTr="009A4081">
        <w:tc>
          <w:tcPr>
            <w:tcW w:w="378" w:type="dxa"/>
          </w:tcPr>
          <w:p w:rsidR="00F7585F" w:rsidRPr="00875C1F" w:rsidRDefault="00F7585F" w:rsidP="00A07E6C">
            <w:pPr>
              <w:pStyle w:val="NoSpacing"/>
              <w:keepNext/>
              <w:rPr>
                <w:rFonts w:asciiTheme="minorHAnsi" w:hAnsiTheme="minorHAnsi"/>
                <w:sz w:val="24"/>
              </w:rPr>
            </w:pPr>
          </w:p>
        </w:tc>
        <w:tc>
          <w:tcPr>
            <w:tcW w:w="10638" w:type="dxa"/>
            <w:shd w:val="clear" w:color="auto" w:fill="DCDCFF"/>
          </w:tcPr>
          <w:p w:rsidR="00F7585F" w:rsidRPr="00D21C7B" w:rsidRDefault="00F7585F" w:rsidP="00A07E6C">
            <w:pPr>
              <w:pStyle w:val="NoSpacing"/>
              <w:keepNext/>
              <w:rPr>
                <w:rFonts w:asciiTheme="minorHAnsi" w:hAnsiTheme="minorHAnsi"/>
                <w:sz w:val="24"/>
                <w:szCs w:val="24"/>
              </w:rPr>
            </w:pPr>
            <w:r w:rsidRPr="00D21C7B">
              <w:rPr>
                <w:rFonts w:asciiTheme="minorHAnsi" w:hAnsiTheme="minorHAnsi"/>
                <w:sz w:val="24"/>
                <w:szCs w:val="24"/>
              </w:rPr>
              <w:t>Identify the generating units that applicable under the standard for which the Entity is the GOP.</w:t>
            </w:r>
          </w:p>
        </w:tc>
      </w:tr>
      <w:tr w:rsidR="00F7585F" w:rsidRPr="00445269" w:rsidTr="009A4081">
        <w:tc>
          <w:tcPr>
            <w:tcW w:w="378" w:type="dxa"/>
          </w:tcPr>
          <w:p w:rsidR="00F7585F" w:rsidRPr="00875C1F" w:rsidRDefault="00F7585F" w:rsidP="001B4B38">
            <w:pPr>
              <w:pStyle w:val="NoSpacing"/>
              <w:keepNext/>
              <w:rPr>
                <w:rFonts w:asciiTheme="minorHAnsi" w:hAnsiTheme="minorHAnsi"/>
                <w:sz w:val="24"/>
              </w:rPr>
            </w:pPr>
          </w:p>
        </w:tc>
        <w:tc>
          <w:tcPr>
            <w:tcW w:w="10638" w:type="dxa"/>
            <w:shd w:val="clear" w:color="auto" w:fill="DCDCFF"/>
          </w:tcPr>
          <w:p w:rsidR="00EB7D49" w:rsidRPr="00D21C7B" w:rsidRDefault="00F7585F" w:rsidP="009A4081">
            <w:pPr>
              <w:pStyle w:val="Default"/>
              <w:keepNext/>
              <w:rPr>
                <w:rFonts w:asciiTheme="minorHAnsi" w:hAnsiTheme="minorHAnsi"/>
                <w:color w:val="auto"/>
              </w:rPr>
            </w:pPr>
            <w:r w:rsidRPr="00D21C7B">
              <w:rPr>
                <w:rFonts w:asciiTheme="minorHAnsi" w:hAnsiTheme="minorHAnsi"/>
                <w:color w:val="auto"/>
              </w:rPr>
              <w:t>Determine if the TOP operates any synchronous condensers connected to the BES. If none, this standard does not apply to the TOP.</w:t>
            </w:r>
          </w:p>
        </w:tc>
      </w:tr>
      <w:tr w:rsidR="00F7585F" w:rsidRPr="00445269" w:rsidTr="009A4081">
        <w:tc>
          <w:tcPr>
            <w:tcW w:w="378" w:type="dxa"/>
          </w:tcPr>
          <w:p w:rsidR="00F7585F" w:rsidRPr="00875C1F" w:rsidRDefault="00F7585F" w:rsidP="003315B3">
            <w:pPr>
              <w:pStyle w:val="NoSpacing"/>
              <w:rPr>
                <w:rFonts w:asciiTheme="minorHAnsi" w:hAnsiTheme="minorHAnsi"/>
                <w:sz w:val="24"/>
              </w:rPr>
            </w:pPr>
          </w:p>
        </w:tc>
        <w:tc>
          <w:tcPr>
            <w:tcW w:w="10638" w:type="dxa"/>
            <w:shd w:val="clear" w:color="auto" w:fill="DCDCFF"/>
          </w:tcPr>
          <w:p w:rsidR="00F7585F" w:rsidRPr="00D21C7B" w:rsidRDefault="00F7585F" w:rsidP="003315B3">
            <w:pPr>
              <w:pStyle w:val="NoSpacing"/>
              <w:rPr>
                <w:rFonts w:asciiTheme="minorHAnsi" w:hAnsiTheme="minorHAnsi"/>
                <w:sz w:val="24"/>
                <w:szCs w:val="24"/>
              </w:rPr>
            </w:pPr>
            <w:r w:rsidRPr="00D21C7B">
              <w:rPr>
                <w:rFonts w:asciiTheme="minorHAnsi" w:hAnsiTheme="minorHAnsi"/>
                <w:sz w:val="24"/>
                <w:szCs w:val="24"/>
              </w:rPr>
              <w:t xml:space="preserve">Determine if the GOP operated with the AVR in service and in the </w:t>
            </w:r>
            <w:r w:rsidRPr="00D21C7B">
              <w:rPr>
                <w:rFonts w:asciiTheme="minorHAnsi" w:hAnsiTheme="minorHAnsi"/>
                <w:sz w:val="24"/>
                <w:szCs w:val="24"/>
                <w:u w:val="single"/>
              </w:rPr>
              <w:t>voltage control mode</w:t>
            </w:r>
            <w:r w:rsidRPr="00D21C7B">
              <w:rPr>
                <w:rFonts w:asciiTheme="minorHAnsi" w:hAnsiTheme="minorHAnsi"/>
                <w:sz w:val="24"/>
                <w:szCs w:val="24"/>
              </w:rPr>
              <w:t xml:space="preserve"> 98% of all operating hours during each calendar quarter of the compliance period.</w:t>
            </w:r>
          </w:p>
        </w:tc>
      </w:tr>
      <w:tr w:rsidR="00F7585F" w:rsidRPr="00445269" w:rsidTr="009A4081">
        <w:tc>
          <w:tcPr>
            <w:tcW w:w="378" w:type="dxa"/>
          </w:tcPr>
          <w:p w:rsidR="00F7585F" w:rsidRPr="00875C1F" w:rsidRDefault="00F7585F" w:rsidP="003315B3">
            <w:pPr>
              <w:pStyle w:val="NoSpacing"/>
              <w:rPr>
                <w:rFonts w:asciiTheme="minorHAnsi" w:hAnsiTheme="minorHAnsi"/>
                <w:sz w:val="24"/>
              </w:rPr>
            </w:pPr>
          </w:p>
        </w:tc>
        <w:tc>
          <w:tcPr>
            <w:tcW w:w="10638" w:type="dxa"/>
            <w:shd w:val="clear" w:color="auto" w:fill="DCDCFF"/>
          </w:tcPr>
          <w:p w:rsidR="00F7585F" w:rsidRPr="00D21C7B" w:rsidRDefault="00F7585F" w:rsidP="003315B3">
            <w:pPr>
              <w:pStyle w:val="NoSpacing"/>
              <w:rPr>
                <w:rFonts w:asciiTheme="minorHAnsi" w:hAnsiTheme="minorHAnsi"/>
                <w:sz w:val="24"/>
                <w:szCs w:val="24"/>
              </w:rPr>
            </w:pPr>
            <w:r w:rsidRPr="00D21C7B">
              <w:rPr>
                <w:rFonts w:asciiTheme="minorHAnsi" w:hAnsiTheme="minorHAnsi"/>
                <w:sz w:val="24"/>
                <w:szCs w:val="24"/>
              </w:rPr>
              <w:t>If provided, review the quarterly AVR reports for the compliance period, noting the compliance percentage for each applicable generator or condenser.</w:t>
            </w:r>
          </w:p>
        </w:tc>
      </w:tr>
      <w:tr w:rsidR="00F7585F" w:rsidRPr="00445269" w:rsidTr="009A4081">
        <w:tc>
          <w:tcPr>
            <w:tcW w:w="11016" w:type="dxa"/>
            <w:gridSpan w:val="2"/>
            <w:shd w:val="clear" w:color="auto" w:fill="DCDCFF"/>
          </w:tcPr>
          <w:p w:rsidR="00F7585F" w:rsidRPr="00D21C7B" w:rsidRDefault="00F7585F" w:rsidP="003315B3">
            <w:pPr>
              <w:pStyle w:val="NoSpacing"/>
              <w:rPr>
                <w:rFonts w:asciiTheme="minorHAnsi" w:hAnsiTheme="minorHAnsi"/>
                <w:sz w:val="24"/>
                <w:szCs w:val="24"/>
              </w:rPr>
            </w:pPr>
            <w:r w:rsidRPr="00D21C7B">
              <w:rPr>
                <w:rFonts w:asciiTheme="minorHAnsi" w:hAnsiTheme="minorHAnsi"/>
                <w:sz w:val="24"/>
                <w:szCs w:val="24"/>
              </w:rPr>
              <w:t xml:space="preserve">If quarterly AVR reports are </w:t>
            </w:r>
            <w:r w:rsidRPr="00D21C7B">
              <w:rPr>
                <w:rFonts w:asciiTheme="minorHAnsi" w:hAnsiTheme="minorHAnsi"/>
                <w:sz w:val="24"/>
                <w:szCs w:val="24"/>
                <w:u w:val="single"/>
              </w:rPr>
              <w:t>not</w:t>
            </w:r>
            <w:r w:rsidRPr="00D21C7B">
              <w:rPr>
                <w:rFonts w:asciiTheme="minorHAnsi" w:hAnsiTheme="minorHAnsi"/>
                <w:sz w:val="24"/>
                <w:szCs w:val="24"/>
              </w:rPr>
              <w:t xml:space="preserve"> provided; the entity must provide:</w:t>
            </w:r>
          </w:p>
        </w:tc>
      </w:tr>
      <w:tr w:rsidR="00F7585F" w:rsidRPr="00445269" w:rsidTr="009A4081">
        <w:tc>
          <w:tcPr>
            <w:tcW w:w="378" w:type="dxa"/>
          </w:tcPr>
          <w:p w:rsidR="00F7585F" w:rsidRPr="00875C1F" w:rsidRDefault="00F7585F" w:rsidP="003315B3">
            <w:pPr>
              <w:pStyle w:val="NoSpacing"/>
              <w:rPr>
                <w:rFonts w:asciiTheme="minorHAnsi" w:hAnsiTheme="minorHAnsi"/>
                <w:sz w:val="24"/>
              </w:rPr>
            </w:pPr>
          </w:p>
        </w:tc>
        <w:tc>
          <w:tcPr>
            <w:tcW w:w="10638" w:type="dxa"/>
            <w:shd w:val="clear" w:color="auto" w:fill="DCDCFF"/>
          </w:tcPr>
          <w:p w:rsidR="00F7585F" w:rsidRPr="00D21C7B" w:rsidRDefault="00F7585F" w:rsidP="009A4081">
            <w:pPr>
              <w:pStyle w:val="Default"/>
              <w:rPr>
                <w:rFonts w:asciiTheme="minorHAnsi" w:hAnsiTheme="minorHAnsi"/>
                <w:color w:val="auto"/>
              </w:rPr>
            </w:pPr>
            <w:r w:rsidRPr="00D21C7B">
              <w:rPr>
                <w:rFonts w:asciiTheme="minorHAnsi" w:hAnsiTheme="minorHAnsi"/>
                <w:color w:val="auto"/>
              </w:rPr>
              <w:t>Total operating hours in each calendar quarter of each applicable generator or condenser.</w:t>
            </w:r>
          </w:p>
        </w:tc>
      </w:tr>
      <w:tr w:rsidR="00F7585F" w:rsidRPr="00445269" w:rsidTr="009A4081">
        <w:tc>
          <w:tcPr>
            <w:tcW w:w="378" w:type="dxa"/>
          </w:tcPr>
          <w:p w:rsidR="00F7585F" w:rsidRPr="00875C1F" w:rsidRDefault="00F7585F" w:rsidP="003315B3">
            <w:pPr>
              <w:pStyle w:val="NoSpacing"/>
              <w:rPr>
                <w:rFonts w:asciiTheme="minorHAnsi" w:hAnsiTheme="minorHAnsi"/>
                <w:sz w:val="24"/>
              </w:rPr>
            </w:pPr>
          </w:p>
        </w:tc>
        <w:tc>
          <w:tcPr>
            <w:tcW w:w="10638" w:type="dxa"/>
            <w:shd w:val="clear" w:color="auto" w:fill="DCDCFF"/>
          </w:tcPr>
          <w:p w:rsidR="00F7585F" w:rsidRPr="00D21C7B" w:rsidRDefault="00F7585F" w:rsidP="009A4081">
            <w:pPr>
              <w:pStyle w:val="Default"/>
              <w:rPr>
                <w:rFonts w:asciiTheme="minorHAnsi" w:hAnsiTheme="minorHAnsi"/>
                <w:color w:val="auto"/>
              </w:rPr>
            </w:pPr>
            <w:r w:rsidRPr="00D21C7B">
              <w:rPr>
                <w:rFonts w:asciiTheme="minorHAnsi" w:hAnsiTheme="minorHAnsi"/>
                <w:color w:val="auto"/>
              </w:rPr>
              <w:t>Total hours excluded under R1.1 – R1.10, in each calendar quarter of each applicable generator or condenser --- see R2 for the excluded hours</w:t>
            </w:r>
          </w:p>
        </w:tc>
      </w:tr>
      <w:tr w:rsidR="00F7585F" w:rsidRPr="00445269" w:rsidTr="009A4081">
        <w:tc>
          <w:tcPr>
            <w:tcW w:w="378" w:type="dxa"/>
          </w:tcPr>
          <w:p w:rsidR="00F7585F" w:rsidRPr="00875C1F" w:rsidRDefault="00F7585F" w:rsidP="003315B3">
            <w:pPr>
              <w:pStyle w:val="NoSpacing"/>
              <w:rPr>
                <w:rFonts w:asciiTheme="minorHAnsi" w:hAnsiTheme="minorHAnsi"/>
                <w:sz w:val="24"/>
              </w:rPr>
            </w:pPr>
          </w:p>
        </w:tc>
        <w:tc>
          <w:tcPr>
            <w:tcW w:w="10638" w:type="dxa"/>
            <w:shd w:val="clear" w:color="auto" w:fill="DCDCFF"/>
          </w:tcPr>
          <w:p w:rsidR="00F7585F" w:rsidRPr="00D21C7B" w:rsidRDefault="00F7585F" w:rsidP="00EB7D49">
            <w:pPr>
              <w:pStyle w:val="NoSpacing"/>
              <w:rPr>
                <w:rFonts w:asciiTheme="minorHAnsi" w:hAnsiTheme="minorHAnsi"/>
                <w:sz w:val="24"/>
                <w:szCs w:val="24"/>
              </w:rPr>
            </w:pPr>
            <w:r w:rsidRPr="00D21C7B">
              <w:rPr>
                <w:rFonts w:asciiTheme="minorHAnsi" w:hAnsiTheme="minorHAnsi"/>
                <w:sz w:val="24"/>
                <w:szCs w:val="24"/>
              </w:rPr>
              <w:t xml:space="preserve">Total hours each applicable generator or condenser did not have the AVR in service </w:t>
            </w:r>
            <w:r w:rsidRPr="00D21C7B">
              <w:rPr>
                <w:rFonts w:asciiTheme="minorHAnsi" w:hAnsiTheme="minorHAnsi"/>
                <w:sz w:val="24"/>
                <w:szCs w:val="24"/>
                <w:u w:val="single"/>
              </w:rPr>
              <w:t>and</w:t>
            </w:r>
            <w:r w:rsidRPr="00D21C7B">
              <w:rPr>
                <w:rFonts w:asciiTheme="minorHAnsi" w:hAnsiTheme="minorHAnsi"/>
                <w:sz w:val="24"/>
                <w:szCs w:val="24"/>
              </w:rPr>
              <w:t xml:space="preserve"> in the voltage control mode.</w:t>
            </w:r>
          </w:p>
        </w:tc>
      </w:tr>
      <w:tr w:rsidR="00F7585F" w:rsidRPr="00445269" w:rsidTr="009A4081">
        <w:tc>
          <w:tcPr>
            <w:tcW w:w="378" w:type="dxa"/>
          </w:tcPr>
          <w:p w:rsidR="00F7585F" w:rsidRPr="00875C1F" w:rsidRDefault="00F7585F" w:rsidP="003315B3">
            <w:pPr>
              <w:pStyle w:val="NoSpacing"/>
              <w:rPr>
                <w:rFonts w:asciiTheme="minorHAnsi" w:hAnsiTheme="minorHAnsi"/>
                <w:sz w:val="24"/>
              </w:rPr>
            </w:pPr>
          </w:p>
        </w:tc>
        <w:tc>
          <w:tcPr>
            <w:tcW w:w="10638" w:type="dxa"/>
            <w:shd w:val="clear" w:color="auto" w:fill="DCDCFF"/>
          </w:tcPr>
          <w:p w:rsidR="00F7585F" w:rsidRPr="00D21C7B" w:rsidRDefault="00F7585F" w:rsidP="00EB7D49">
            <w:pPr>
              <w:pStyle w:val="NoSpacing"/>
              <w:rPr>
                <w:rFonts w:asciiTheme="minorHAnsi" w:hAnsiTheme="minorHAnsi"/>
                <w:sz w:val="24"/>
                <w:szCs w:val="24"/>
              </w:rPr>
            </w:pPr>
            <w:r w:rsidRPr="00D21C7B">
              <w:rPr>
                <w:rFonts w:asciiTheme="minorHAnsi" w:hAnsiTheme="minorHAnsi"/>
                <w:sz w:val="24"/>
                <w:szCs w:val="24"/>
              </w:rPr>
              <w:t>Determine the percentage of hours the applicable generator or condenser operated with the AVR in service and in the voltage control mode by subtracting the excluded hours from the total operating hours --- use the result in determining the percent compliance.</w:t>
            </w:r>
          </w:p>
        </w:tc>
      </w:tr>
    </w:tbl>
    <w:p w:rsidR="00F7585F" w:rsidRDefault="00F7585F" w:rsidP="00CC7D7B">
      <w:pPr>
        <w:widowControl w:val="0"/>
        <w:tabs>
          <w:tab w:val="left" w:pos="2790"/>
        </w:tabs>
        <w:spacing w:line="281" w:lineRule="exact"/>
        <w:rPr>
          <w:rFonts w:asciiTheme="minorHAnsi" w:hAnsiTheme="minorHAnsi"/>
        </w:rPr>
      </w:pPr>
    </w:p>
    <w:p w:rsidR="00F7585F" w:rsidRPr="003315B3" w:rsidRDefault="00580165" w:rsidP="00F7585F">
      <w:pPr>
        <w:widowControl w:val="0"/>
        <w:tabs>
          <w:tab w:val="left" w:pos="0"/>
        </w:tabs>
        <w:rPr>
          <w:rFonts w:asciiTheme="minorHAnsi" w:hAnsiTheme="minorHAnsi" w:cstheme="minorHAnsi"/>
          <w:b/>
          <w:bCs/>
          <w:sz w:val="24"/>
        </w:rPr>
      </w:pPr>
      <w:hyperlink w:anchor="R2_Finding" w:history="1">
        <w:r w:rsidR="00F7585F" w:rsidRPr="003315B3">
          <w:rPr>
            <w:rStyle w:val="Hyperlink"/>
            <w:rFonts w:asciiTheme="minorHAnsi" w:hAnsiTheme="minorHAnsi" w:cstheme="minorHAnsi"/>
            <w:b/>
            <w:bCs/>
            <w:color w:val="auto"/>
            <w:sz w:val="24"/>
          </w:rPr>
          <w:t>Compliance S</w:t>
        </w:r>
        <w:bookmarkStart w:id="4" w:name="R2_Summary"/>
        <w:bookmarkEnd w:id="4"/>
        <w:r w:rsidR="00F7585F" w:rsidRPr="003315B3">
          <w:rPr>
            <w:rStyle w:val="Hyperlink"/>
            <w:rFonts w:asciiTheme="minorHAnsi" w:hAnsiTheme="minorHAnsi" w:cstheme="minorHAnsi"/>
            <w:b/>
            <w:bCs/>
            <w:color w:val="auto"/>
            <w:sz w:val="24"/>
          </w:rPr>
          <w:t>ummary:</w:t>
        </w:r>
      </w:hyperlink>
    </w:p>
    <w:p w:rsidR="00F7585F" w:rsidRPr="003315B3" w:rsidRDefault="00F7585F" w:rsidP="00BC7D6E">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sz w:val="24"/>
        </w:rPr>
      </w:pPr>
      <w:r w:rsidRPr="003315B3">
        <w:rPr>
          <w:rFonts w:asciiTheme="minorHAnsi" w:hAnsiTheme="minorHAnsi" w:cstheme="minorHAnsi"/>
          <w:bCs/>
          <w:sz w:val="24"/>
        </w:rPr>
        <w:t>(Finding Summary):</w:t>
      </w:r>
    </w:p>
    <w:p w:rsidR="00F7585F" w:rsidRPr="003315B3" w:rsidRDefault="00F7585F" w:rsidP="00BC7D6E">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sz w:val="24"/>
        </w:rPr>
      </w:pPr>
    </w:p>
    <w:p w:rsidR="00F7585F" w:rsidRPr="003315B3" w:rsidRDefault="00F7585F" w:rsidP="00BC7D6E">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sz w:val="24"/>
        </w:rPr>
      </w:pPr>
      <w:r w:rsidRPr="003315B3">
        <w:rPr>
          <w:rFonts w:asciiTheme="minorHAnsi" w:hAnsiTheme="minorHAnsi" w:cstheme="minorHAnsi"/>
          <w:bCs/>
          <w:sz w:val="24"/>
        </w:rPr>
        <w:t>Primary Documents Supporting Finding:</w:t>
      </w:r>
    </w:p>
    <w:p w:rsidR="00F7585F" w:rsidRPr="003315B3" w:rsidRDefault="00F7585F" w:rsidP="00BC7D6E">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sz w:val="24"/>
        </w:rPr>
      </w:pPr>
    </w:p>
    <w:p w:rsidR="00F7585F" w:rsidRPr="003315B3" w:rsidRDefault="00F7585F" w:rsidP="00BC7D6E">
      <w:pPr>
        <w:widowControl w:val="0"/>
        <w:tabs>
          <w:tab w:val="left" w:pos="0"/>
        </w:tabs>
        <w:rPr>
          <w:rFonts w:asciiTheme="minorHAnsi" w:hAnsiTheme="minorHAnsi" w:cstheme="minorHAnsi"/>
          <w:b/>
          <w:bCs/>
          <w:sz w:val="24"/>
        </w:rPr>
      </w:pPr>
    </w:p>
    <w:p w:rsidR="00F7585F" w:rsidRPr="003315B3" w:rsidRDefault="00F7585F" w:rsidP="00BC7D6E">
      <w:pPr>
        <w:widowControl w:val="0"/>
        <w:tabs>
          <w:tab w:val="left" w:pos="0"/>
        </w:tabs>
        <w:rPr>
          <w:rFonts w:asciiTheme="minorHAnsi" w:hAnsiTheme="minorHAnsi" w:cstheme="minorHAnsi"/>
          <w:b/>
          <w:bCs/>
          <w:color w:val="264D74"/>
          <w:sz w:val="24"/>
        </w:rPr>
      </w:pPr>
      <w:r w:rsidRPr="003315B3">
        <w:rPr>
          <w:rFonts w:asciiTheme="minorHAnsi" w:hAnsiTheme="minorHAnsi" w:cstheme="minorHAnsi"/>
          <w:b/>
          <w:bCs/>
          <w:sz w:val="24"/>
        </w:rPr>
        <w:t>Auditor Notes:</w:t>
      </w:r>
      <w:r w:rsidRPr="003315B3">
        <w:rPr>
          <w:rFonts w:asciiTheme="minorHAnsi" w:hAnsiTheme="minorHAnsi" w:cstheme="minorHAnsi"/>
          <w:b/>
          <w:bCs/>
          <w:color w:val="264D74"/>
          <w:sz w:val="24"/>
        </w:rPr>
        <w:t xml:space="preserve"> </w:t>
      </w:r>
    </w:p>
    <w:p w:rsidR="00F7585F" w:rsidRDefault="00F7585F" w:rsidP="00BC7D6E">
      <w:pPr>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sz w:val="24"/>
        </w:rPr>
      </w:pPr>
    </w:p>
    <w:p w:rsidR="00A07E6C" w:rsidRPr="003315B3" w:rsidRDefault="00A07E6C" w:rsidP="00BC7D6E">
      <w:pPr>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sz w:val="24"/>
        </w:rPr>
      </w:pPr>
    </w:p>
    <w:p w:rsidR="003315B3" w:rsidRDefault="003315B3" w:rsidP="00BC7D6E">
      <w:pPr>
        <w:pStyle w:val="Heading1"/>
        <w:rPr>
          <w:rFonts w:asciiTheme="minorHAnsi" w:hAnsiTheme="minorHAnsi" w:cstheme="minorHAnsi"/>
          <w:b/>
          <w:shadow w:val="0"/>
          <w:color w:val="auto"/>
          <w:sz w:val="24"/>
          <w:szCs w:val="22"/>
          <w:u w:val="single"/>
        </w:rPr>
      </w:pPr>
    </w:p>
    <w:p w:rsidR="001E5787" w:rsidRDefault="00FF7C2E" w:rsidP="005D05BB">
      <w:pPr>
        <w:spacing w:before="240"/>
        <w:rPr>
          <w:rFonts w:asciiTheme="minorHAnsi" w:hAnsiTheme="minorHAnsi" w:cs="Calibri"/>
          <w:b/>
          <w:sz w:val="32"/>
          <w:szCs w:val="32"/>
        </w:rPr>
      </w:pPr>
      <w:r>
        <w:rPr>
          <w:rFonts w:asciiTheme="minorHAnsi" w:hAnsiTheme="minorHAnsi" w:cs="Calibri"/>
          <w:b/>
          <w:sz w:val="32"/>
          <w:szCs w:val="32"/>
        </w:rPr>
        <w:t>S</w:t>
      </w:r>
      <w:r w:rsidR="001E5787">
        <w:rPr>
          <w:rFonts w:asciiTheme="minorHAnsi" w:hAnsiTheme="minorHAnsi" w:cs="Calibri"/>
          <w:b/>
          <w:sz w:val="32"/>
          <w:szCs w:val="32"/>
        </w:rPr>
        <w:t>upplemental Information</w:t>
      </w:r>
    </w:p>
    <w:p w:rsidR="001E5787" w:rsidRDefault="001E5787" w:rsidP="001E5787">
      <w:pPr>
        <w:widowControl w:val="0"/>
        <w:tabs>
          <w:tab w:val="left" w:pos="60"/>
        </w:tabs>
        <w:spacing w:line="320" w:lineRule="exact"/>
        <w:rPr>
          <w:rFonts w:asciiTheme="minorHAnsi" w:hAnsiTheme="minorHAnsi" w:cs="Calibri"/>
          <w:color w:val="000000"/>
          <w:sz w:val="24"/>
          <w:szCs w:val="24"/>
        </w:rPr>
      </w:pPr>
    </w:p>
    <w:p w:rsidR="001E5787" w:rsidRPr="003F1CEA" w:rsidRDefault="001E5787" w:rsidP="001E5787">
      <w:pPr>
        <w:spacing w:line="284" w:lineRule="atLeast"/>
        <w:rPr>
          <w:rFonts w:asciiTheme="minorHAnsi" w:hAnsiTheme="minorHAnsi" w:cs="Calibri"/>
          <w:sz w:val="24"/>
        </w:rPr>
      </w:pPr>
      <w:r w:rsidRPr="003F1CEA">
        <w:rPr>
          <w:rStyle w:val="Strong"/>
          <w:rFonts w:asciiTheme="minorHAnsi" w:hAnsiTheme="minorHAnsi" w:cs="Calibri"/>
          <w:sz w:val="24"/>
        </w:rPr>
        <w:t xml:space="preserve">Other </w:t>
      </w:r>
      <w:r w:rsidRPr="003F1CEA">
        <w:rPr>
          <w:rStyle w:val="Strong"/>
          <w:rFonts w:asciiTheme="minorHAnsi" w:hAnsiTheme="minorHAnsi" w:cs="Calibri"/>
          <w:sz w:val="24"/>
        </w:rPr>
        <w:noBreakHyphen/>
      </w:r>
      <w:r w:rsidRPr="003F1CEA">
        <w:rPr>
          <w:rFonts w:asciiTheme="minorHAnsi" w:hAnsiTheme="minorHAnsi" w:cs="Calibri"/>
          <w:sz w:val="24"/>
        </w:rPr>
        <w:t xml:space="preserve"> </w:t>
      </w:r>
      <w:proofErr w:type="gramStart"/>
      <w:r w:rsidRPr="003F1CEA">
        <w:rPr>
          <w:rFonts w:asciiTheme="minorHAnsi" w:hAnsiTheme="minorHAnsi" w:cs="Calibri"/>
          <w:sz w:val="24"/>
        </w:rPr>
        <w:t>The</w:t>
      </w:r>
      <w:proofErr w:type="gramEnd"/>
      <w:r w:rsidRPr="003F1CEA">
        <w:rPr>
          <w:rFonts w:asciiTheme="minorHAnsi" w:hAnsiTheme="minorHAnsi" w:cs="Calibri"/>
          <w:sz w:val="24"/>
        </w:rPr>
        <w:t xml:space="preserve"> list of questions above is not all inclusive of evidence required to show compliance with the Reliability Standard. Provide additional information here</w:t>
      </w:r>
      <w:r w:rsidRPr="003F1CEA">
        <w:rPr>
          <w:rStyle w:val="Strong"/>
          <w:rFonts w:asciiTheme="minorHAnsi" w:hAnsiTheme="minorHAnsi" w:cs="Calibri"/>
          <w:sz w:val="24"/>
        </w:rPr>
        <w:t xml:space="preserve">, </w:t>
      </w:r>
      <w:r w:rsidRPr="003F1CEA">
        <w:rPr>
          <w:rStyle w:val="Strong"/>
          <w:rFonts w:asciiTheme="minorHAnsi" w:hAnsiTheme="minorHAnsi" w:cs="Calibri"/>
          <w:sz w:val="24"/>
          <w:u w:val="single"/>
        </w:rPr>
        <w:t>as necessary</w:t>
      </w:r>
      <w:r w:rsidRPr="003F1CEA">
        <w:rPr>
          <w:rStyle w:val="Strong"/>
          <w:rFonts w:asciiTheme="minorHAnsi" w:hAnsiTheme="minorHAnsi" w:cs="Calibri"/>
          <w:b w:val="0"/>
          <w:sz w:val="24"/>
        </w:rPr>
        <w:t xml:space="preserve"> that</w:t>
      </w:r>
      <w:r w:rsidRPr="003F1CEA">
        <w:rPr>
          <w:rFonts w:asciiTheme="minorHAnsi" w:hAnsiTheme="minorHAnsi" w:cs="Calibri"/>
          <w:b/>
          <w:sz w:val="24"/>
        </w:rPr>
        <w:t xml:space="preserve"> </w:t>
      </w:r>
      <w:r w:rsidRPr="003F1CEA">
        <w:rPr>
          <w:rFonts w:asciiTheme="minorHAnsi" w:hAnsiTheme="minorHAnsi" w:cs="Calibri"/>
          <w:sz w:val="24"/>
        </w:rPr>
        <w:t>demonstrates compliance with this Reliability Standard.</w:t>
      </w:r>
    </w:p>
    <w:p w:rsidR="001E5787" w:rsidRDefault="001E5787" w:rsidP="001E5787">
      <w:pPr>
        <w:spacing w:line="284" w:lineRule="atLeast"/>
        <w:rPr>
          <w:rFonts w:asciiTheme="minorHAnsi" w:hAnsiTheme="minorHAnsi" w:cs="Calibri"/>
        </w:rPr>
      </w:pPr>
    </w:p>
    <w:p w:rsidR="001E5787" w:rsidRDefault="001E5787" w:rsidP="001E5787">
      <w:pPr>
        <w:widowControl w:val="0"/>
        <w:pBdr>
          <w:top w:val="single" w:sz="4" w:space="0" w:color="auto"/>
          <w:left w:val="single" w:sz="4" w:space="4" w:color="auto"/>
          <w:bottom w:val="single" w:sz="4" w:space="1" w:color="auto"/>
          <w:right w:val="single" w:sz="4" w:space="4" w:color="auto"/>
        </w:pBdr>
        <w:shd w:val="clear" w:color="auto" w:fill="CDFFCD"/>
        <w:tabs>
          <w:tab w:val="left" w:pos="720"/>
        </w:tabs>
        <w:spacing w:line="294" w:lineRule="exact"/>
        <w:rPr>
          <w:rFonts w:asciiTheme="minorHAnsi" w:hAnsiTheme="minorHAnsi" w:cs="Calibri"/>
          <w:bCs/>
        </w:rPr>
      </w:pPr>
    </w:p>
    <w:p w:rsidR="001E5787" w:rsidRDefault="001E5787" w:rsidP="001E5787">
      <w:pPr>
        <w:widowControl w:val="0"/>
        <w:pBdr>
          <w:top w:val="single" w:sz="4" w:space="0" w:color="auto"/>
          <w:left w:val="single" w:sz="4" w:space="4" w:color="auto"/>
          <w:bottom w:val="single" w:sz="4" w:space="1" w:color="auto"/>
          <w:right w:val="single" w:sz="4" w:space="4" w:color="auto"/>
        </w:pBdr>
        <w:shd w:val="clear" w:color="auto" w:fill="CDFFCD"/>
        <w:tabs>
          <w:tab w:val="left" w:pos="720"/>
        </w:tabs>
        <w:spacing w:line="294" w:lineRule="exact"/>
        <w:rPr>
          <w:rFonts w:asciiTheme="minorHAnsi" w:hAnsiTheme="minorHAnsi" w:cs="Calibri"/>
          <w:bCs/>
        </w:rPr>
      </w:pPr>
    </w:p>
    <w:p w:rsidR="001E5787" w:rsidRDefault="001E5787" w:rsidP="001E5787">
      <w:pPr>
        <w:widowControl w:val="0"/>
        <w:tabs>
          <w:tab w:val="left" w:pos="0"/>
        </w:tabs>
        <w:rPr>
          <w:rFonts w:asciiTheme="minorHAnsi" w:hAnsiTheme="minorHAnsi" w:cstheme="minorHAnsi"/>
          <w:b/>
          <w:bCs/>
          <w:color w:val="264D74"/>
          <w:sz w:val="24"/>
          <w:szCs w:val="24"/>
        </w:rPr>
      </w:pPr>
    </w:p>
    <w:p w:rsidR="001E5787" w:rsidRDefault="001E5787" w:rsidP="001E5787">
      <w:pPr>
        <w:widowControl w:val="0"/>
        <w:tabs>
          <w:tab w:val="left" w:pos="0"/>
        </w:tabs>
        <w:rPr>
          <w:rFonts w:asciiTheme="minorHAnsi" w:hAnsiTheme="minorHAnsi" w:cs="Times New Roman"/>
          <w:b/>
          <w:sz w:val="24"/>
          <w:szCs w:val="24"/>
        </w:rPr>
      </w:pPr>
      <w:r>
        <w:rPr>
          <w:rFonts w:asciiTheme="minorHAnsi" w:hAnsiTheme="minorHAnsi" w:cs="Times New Roman"/>
          <w:b/>
          <w:sz w:val="24"/>
          <w:szCs w:val="24"/>
        </w:rPr>
        <w:t xml:space="preserve">Standard: </w:t>
      </w:r>
      <w:hyperlink r:id="rId13" w:history="1">
        <w:r>
          <w:rPr>
            <w:rStyle w:val="Hyperlink"/>
            <w:rFonts w:asciiTheme="minorHAnsi" w:hAnsiTheme="minorHAnsi" w:cs="Times New Roman"/>
            <w:b/>
            <w:sz w:val="24"/>
            <w:szCs w:val="24"/>
          </w:rPr>
          <w:t>VAR-002-WECC-1 – Automatic Voltage Regulators (WECC)</w:t>
        </w:r>
      </w:hyperlink>
    </w:p>
    <w:p w:rsidR="001E5787" w:rsidRDefault="001E5787" w:rsidP="001E5787">
      <w:pPr>
        <w:widowControl w:val="0"/>
        <w:tabs>
          <w:tab w:val="left" w:pos="0"/>
        </w:tabs>
        <w:rPr>
          <w:rFonts w:asciiTheme="minorHAnsi" w:hAnsiTheme="minorHAnsi" w:cs="Times New Roman"/>
          <w:b/>
          <w:sz w:val="24"/>
          <w:szCs w:val="24"/>
        </w:rPr>
      </w:pPr>
    </w:p>
    <w:p w:rsidR="00BD04FD" w:rsidRPr="00F7585F" w:rsidRDefault="00BD04FD" w:rsidP="001E5787">
      <w:pPr>
        <w:widowControl w:val="0"/>
        <w:tabs>
          <w:tab w:val="left" w:pos="0"/>
        </w:tabs>
        <w:rPr>
          <w:rFonts w:asciiTheme="minorHAnsi" w:hAnsiTheme="minorHAnsi" w:cs="Times New Roman"/>
          <w:b/>
          <w:sz w:val="24"/>
          <w:szCs w:val="24"/>
        </w:rPr>
      </w:pPr>
      <w:r w:rsidRPr="00F7585F">
        <w:rPr>
          <w:rFonts w:asciiTheme="minorHAnsi" w:hAnsiTheme="minorHAnsi" w:cs="Times New Roman"/>
          <w:b/>
          <w:sz w:val="24"/>
          <w:szCs w:val="24"/>
        </w:rPr>
        <w:t>Excerpts from FERC Orders -- For Reference Purposes Only</w:t>
      </w:r>
    </w:p>
    <w:p w:rsidR="00BD04FD" w:rsidRPr="00F7585F" w:rsidRDefault="00BD04FD" w:rsidP="001E5787">
      <w:pPr>
        <w:pStyle w:val="Header"/>
        <w:rPr>
          <w:rFonts w:asciiTheme="minorHAnsi" w:hAnsiTheme="minorHAnsi" w:cs="Times New Roman"/>
          <w:b/>
          <w:sz w:val="24"/>
          <w:szCs w:val="24"/>
        </w:rPr>
      </w:pPr>
      <w:r w:rsidRPr="00F7585F">
        <w:rPr>
          <w:rFonts w:asciiTheme="minorHAnsi" w:hAnsiTheme="minorHAnsi" w:cs="Times New Roman"/>
          <w:b/>
          <w:sz w:val="24"/>
          <w:szCs w:val="24"/>
        </w:rPr>
        <w:t>Updated Through April 21, 2011</w:t>
      </w:r>
    </w:p>
    <w:p w:rsidR="00BD04FD" w:rsidRPr="00F7585F" w:rsidRDefault="00BD04FD" w:rsidP="001E5787">
      <w:pPr>
        <w:widowControl w:val="0"/>
        <w:spacing w:line="160" w:lineRule="exact"/>
        <w:rPr>
          <w:rFonts w:asciiTheme="minorHAnsi" w:hAnsiTheme="minorHAnsi"/>
        </w:rPr>
      </w:pPr>
    </w:p>
    <w:p w:rsidR="00BD04FD" w:rsidRPr="00F7585F" w:rsidRDefault="00BD04FD" w:rsidP="001E5787">
      <w:pPr>
        <w:widowControl w:val="0"/>
        <w:rPr>
          <w:rFonts w:asciiTheme="minorHAnsi" w:hAnsiTheme="minorHAnsi" w:cs="Times New Roman"/>
          <w:b/>
          <w:sz w:val="24"/>
          <w:szCs w:val="24"/>
        </w:rPr>
      </w:pPr>
    </w:p>
    <w:p w:rsidR="00BD04FD" w:rsidRPr="00F7585F" w:rsidRDefault="00BD04FD" w:rsidP="001E5787">
      <w:pPr>
        <w:widowControl w:val="0"/>
        <w:rPr>
          <w:rFonts w:asciiTheme="minorHAnsi" w:hAnsiTheme="minorHAnsi" w:cs="Times New Roman"/>
          <w:b/>
          <w:sz w:val="24"/>
          <w:szCs w:val="24"/>
        </w:rPr>
      </w:pPr>
      <w:r w:rsidRPr="00F7585F">
        <w:rPr>
          <w:rFonts w:asciiTheme="minorHAnsi" w:hAnsiTheme="minorHAnsi" w:cs="Times New Roman"/>
          <w:b/>
          <w:sz w:val="24"/>
          <w:szCs w:val="24"/>
        </w:rPr>
        <w:t xml:space="preserve">FERC-751 </w:t>
      </w:r>
    </w:p>
    <w:p w:rsidR="00BD04FD" w:rsidRPr="00F7585F" w:rsidRDefault="00BD04FD" w:rsidP="001E5787">
      <w:pPr>
        <w:widowControl w:val="0"/>
        <w:rPr>
          <w:rFonts w:asciiTheme="minorHAnsi" w:hAnsiTheme="minorHAnsi" w:cs="Times New Roman"/>
          <w:b/>
          <w:sz w:val="24"/>
          <w:szCs w:val="24"/>
          <w:highlight w:val="yellow"/>
        </w:rPr>
      </w:pPr>
      <w:r w:rsidRPr="00F7585F">
        <w:rPr>
          <w:rFonts w:asciiTheme="minorHAnsi" w:hAnsiTheme="minorHAnsi" w:cs="Times New Roman"/>
          <w:b/>
          <w:sz w:val="24"/>
          <w:szCs w:val="24"/>
        </w:rPr>
        <w:t>Version One Regional Reliability Standards for Facilities Design, Connections, and Maintenance; Protection and Control; and Voltage and Reactive</w:t>
      </w:r>
    </w:p>
    <w:p w:rsidR="00BD04FD" w:rsidRPr="00F7585F" w:rsidRDefault="00BD04FD" w:rsidP="001E5787">
      <w:pPr>
        <w:widowControl w:val="0"/>
        <w:spacing w:line="251" w:lineRule="exact"/>
        <w:rPr>
          <w:rFonts w:asciiTheme="minorHAnsi" w:hAnsiTheme="minorHAnsi"/>
          <w:sz w:val="24"/>
          <w:szCs w:val="24"/>
          <w:highlight w:val="yellow"/>
        </w:rPr>
      </w:pPr>
    </w:p>
    <w:p w:rsidR="00BD04FD" w:rsidRPr="00F7585F" w:rsidRDefault="00BD04FD" w:rsidP="001E5787">
      <w:pPr>
        <w:pStyle w:val="FERCparanumberChar"/>
        <w:spacing w:after="260"/>
        <w:rPr>
          <w:rFonts w:asciiTheme="minorHAnsi" w:hAnsiTheme="minorHAnsi"/>
          <w:sz w:val="24"/>
        </w:rPr>
      </w:pPr>
      <w:proofErr w:type="gramStart"/>
      <w:r w:rsidRPr="00F7585F">
        <w:rPr>
          <w:rFonts w:asciiTheme="minorHAnsi" w:hAnsiTheme="minorHAnsi"/>
          <w:sz w:val="24"/>
        </w:rPr>
        <w:t>7.On</w:t>
      </w:r>
      <w:proofErr w:type="gramEnd"/>
      <w:r w:rsidRPr="00F7585F">
        <w:rPr>
          <w:rFonts w:asciiTheme="minorHAnsi" w:hAnsiTheme="minorHAnsi"/>
          <w:sz w:val="24"/>
        </w:rPr>
        <w:t xml:space="preserve"> March 25, 2009, NERC submitted a petition (NERC Petition) to the Commission seeking approval of four WECC regional Reliability Standards. The four proposed WECC regional Reliability Standards </w:t>
      </w:r>
      <w:proofErr w:type="gramStart"/>
      <w:r w:rsidRPr="00F7585F">
        <w:rPr>
          <w:rFonts w:asciiTheme="minorHAnsi" w:hAnsiTheme="minorHAnsi"/>
          <w:sz w:val="24"/>
        </w:rPr>
        <w:t>are designated</w:t>
      </w:r>
      <w:proofErr w:type="gramEnd"/>
      <w:r w:rsidRPr="00F7585F">
        <w:rPr>
          <w:rFonts w:asciiTheme="minorHAnsi" w:hAnsiTheme="minorHAnsi"/>
          <w:sz w:val="24"/>
        </w:rPr>
        <w:t xml:space="preserve"> as FAC-501-WECC-1, PRC-004-WECC-1, VAR-</w:t>
      </w:r>
      <w:r w:rsidR="00797A32">
        <w:rPr>
          <w:rFonts w:asciiTheme="minorHAnsi" w:hAnsiTheme="minorHAnsi"/>
          <w:sz w:val="24"/>
        </w:rPr>
        <w:t>002-WECC-1 and VAR-501-WECC-1.</w:t>
      </w:r>
      <w:r w:rsidRPr="00F7585F">
        <w:rPr>
          <w:rFonts w:asciiTheme="minorHAnsi" w:hAnsiTheme="minorHAnsi"/>
          <w:sz w:val="24"/>
        </w:rPr>
        <w:t xml:space="preserve"> In its petition, NERC explains that the four proposed regional Reliability Standards are meant to replace certain </w:t>
      </w:r>
      <w:proofErr w:type="gramStart"/>
      <w:r w:rsidRPr="00F7585F">
        <w:rPr>
          <w:rFonts w:asciiTheme="minorHAnsi" w:hAnsiTheme="minorHAnsi"/>
          <w:sz w:val="24"/>
        </w:rPr>
        <w:t>currently-effective</w:t>
      </w:r>
      <w:proofErr w:type="gramEnd"/>
      <w:r w:rsidRPr="00F7585F">
        <w:rPr>
          <w:rFonts w:asciiTheme="minorHAnsi" w:hAnsiTheme="minorHAnsi"/>
          <w:sz w:val="24"/>
        </w:rPr>
        <w:t xml:space="preserve"> regional Reliability Standards:</w:t>
      </w:r>
      <w:bookmarkStart w:id="5" w:name="_GoBack"/>
      <w:bookmarkEnd w:id="5"/>
    </w:p>
    <w:p w:rsidR="00BD04FD" w:rsidRPr="00F7585F" w:rsidRDefault="00BD04FD" w:rsidP="001E5787">
      <w:pPr>
        <w:pStyle w:val="FERCparanumberChar"/>
        <w:numPr>
          <w:ilvl w:val="0"/>
          <w:numId w:val="6"/>
        </w:numPr>
        <w:spacing w:after="260"/>
        <w:ind w:left="504"/>
        <w:rPr>
          <w:rFonts w:asciiTheme="minorHAnsi" w:hAnsiTheme="minorHAnsi"/>
          <w:sz w:val="24"/>
        </w:rPr>
      </w:pPr>
      <w:r w:rsidRPr="00F7585F">
        <w:rPr>
          <w:rFonts w:asciiTheme="minorHAnsi" w:hAnsiTheme="minorHAnsi"/>
          <w:sz w:val="24"/>
        </w:rPr>
        <w:t>FAC-501-WECC-1 is intended to replace the current approved WECC PRC-STD-005-1;</w:t>
      </w:r>
    </w:p>
    <w:p w:rsidR="00BD04FD" w:rsidRPr="00F7585F" w:rsidRDefault="00BD04FD" w:rsidP="001E5787">
      <w:pPr>
        <w:pStyle w:val="FERCparanumberChar"/>
        <w:numPr>
          <w:ilvl w:val="0"/>
          <w:numId w:val="6"/>
        </w:numPr>
        <w:spacing w:after="260"/>
        <w:ind w:left="504"/>
        <w:rPr>
          <w:rFonts w:asciiTheme="minorHAnsi" w:hAnsiTheme="minorHAnsi"/>
          <w:sz w:val="24"/>
        </w:rPr>
      </w:pPr>
      <w:r w:rsidRPr="00F7585F">
        <w:rPr>
          <w:rFonts w:asciiTheme="minorHAnsi" w:hAnsiTheme="minorHAnsi"/>
          <w:sz w:val="24"/>
        </w:rPr>
        <w:t>PRC-004-WECC-1 is intended to replace WECC PRC-STD-001-1 and WECC PRC-STD-003-1;</w:t>
      </w:r>
    </w:p>
    <w:p w:rsidR="00BD04FD" w:rsidRPr="00F7585F" w:rsidRDefault="00BD04FD" w:rsidP="001E5787">
      <w:pPr>
        <w:pStyle w:val="FERCparanumberChar"/>
        <w:numPr>
          <w:ilvl w:val="0"/>
          <w:numId w:val="6"/>
        </w:numPr>
        <w:spacing w:after="260"/>
        <w:ind w:left="504"/>
        <w:rPr>
          <w:rFonts w:asciiTheme="minorHAnsi" w:hAnsiTheme="minorHAnsi"/>
          <w:sz w:val="24"/>
        </w:rPr>
      </w:pPr>
      <w:r w:rsidRPr="00F7585F">
        <w:rPr>
          <w:rFonts w:asciiTheme="minorHAnsi" w:hAnsiTheme="minorHAnsi"/>
          <w:sz w:val="24"/>
        </w:rPr>
        <w:t>VAR-002-WECC-1 is intended to replace WECC VAR-STD-002a-1; and</w:t>
      </w:r>
    </w:p>
    <w:p w:rsidR="00BD04FD" w:rsidRPr="00F7585F" w:rsidRDefault="00BD04FD" w:rsidP="001E5787">
      <w:pPr>
        <w:pStyle w:val="FERCparanumberChar"/>
        <w:numPr>
          <w:ilvl w:val="0"/>
          <w:numId w:val="6"/>
        </w:numPr>
        <w:spacing w:after="260"/>
        <w:ind w:left="504"/>
        <w:rPr>
          <w:rFonts w:asciiTheme="minorHAnsi" w:hAnsiTheme="minorHAnsi"/>
          <w:sz w:val="24"/>
        </w:rPr>
      </w:pPr>
      <w:r w:rsidRPr="00F7585F">
        <w:rPr>
          <w:rFonts w:asciiTheme="minorHAnsi" w:hAnsiTheme="minorHAnsi"/>
          <w:sz w:val="24"/>
        </w:rPr>
        <w:t>VAR-501-WECC-1 is intended to replace WECC VAR-STD-002b-1.</w:t>
      </w:r>
    </w:p>
    <w:p w:rsidR="00BD04FD" w:rsidRPr="00F7585F" w:rsidRDefault="00BD04FD" w:rsidP="001E5787">
      <w:pPr>
        <w:widowControl w:val="0"/>
        <w:rPr>
          <w:rFonts w:asciiTheme="minorHAnsi" w:hAnsiTheme="minorHAnsi" w:cs="Times New Roman"/>
          <w:sz w:val="24"/>
          <w:szCs w:val="24"/>
        </w:rPr>
      </w:pPr>
      <w:bookmarkStart w:id="6" w:name="RSAW"/>
      <w:bookmarkEnd w:id="6"/>
      <w:r w:rsidRPr="00F7585F">
        <w:rPr>
          <w:rFonts w:asciiTheme="minorHAnsi" w:hAnsiTheme="minorHAnsi" w:cs="Times New Roman"/>
          <w:sz w:val="24"/>
          <w:szCs w:val="24"/>
        </w:rPr>
        <w:t>53</w:t>
      </w:r>
      <w:proofErr w:type="gramStart"/>
      <w:r w:rsidRPr="00F7585F">
        <w:rPr>
          <w:rFonts w:asciiTheme="minorHAnsi" w:hAnsiTheme="minorHAnsi" w:cs="Times New Roman"/>
          <w:sz w:val="24"/>
          <w:szCs w:val="24"/>
        </w:rPr>
        <w:t>.Consistent</w:t>
      </w:r>
      <w:proofErr w:type="gramEnd"/>
      <w:r w:rsidRPr="00F7585F">
        <w:rPr>
          <w:rFonts w:asciiTheme="minorHAnsi" w:hAnsiTheme="minorHAnsi" w:cs="Times New Roman"/>
          <w:sz w:val="24"/>
          <w:szCs w:val="24"/>
        </w:rPr>
        <w:t xml:space="preserve"> with the Commission directives, the revised regional Reliability Standard replaces the former sanctions table with violation risk factors, violation severity levels, measures and time horizons.</w:t>
      </w:r>
      <w:r w:rsidR="00797A32">
        <w:rPr>
          <w:rFonts w:asciiTheme="minorHAnsi" w:hAnsiTheme="minorHAnsi" w:cs="Times New Roman"/>
          <w:sz w:val="24"/>
          <w:szCs w:val="24"/>
        </w:rPr>
        <w:t xml:space="preserve"> </w:t>
      </w:r>
      <w:r w:rsidRPr="00F7585F">
        <w:rPr>
          <w:rFonts w:asciiTheme="minorHAnsi" w:hAnsiTheme="minorHAnsi" w:cs="Times New Roman"/>
          <w:sz w:val="24"/>
          <w:szCs w:val="24"/>
        </w:rPr>
        <w:t xml:space="preserve">WECC also </w:t>
      </w:r>
      <w:r w:rsidRPr="00F7585F">
        <w:rPr>
          <w:rFonts w:asciiTheme="minorHAnsi" w:hAnsiTheme="minorHAnsi" w:cs="Times New Roman"/>
          <w:sz w:val="24"/>
          <w:szCs w:val="24"/>
        </w:rPr>
        <w:lastRenderedPageBreak/>
        <w:t>proposes a new glossary term, Commercial Operation, applicable only in the Western Interconnection.</w:t>
      </w:r>
    </w:p>
    <w:p w:rsidR="001E5787" w:rsidRDefault="00BD04FD" w:rsidP="001E5787">
      <w:pPr>
        <w:widowControl w:val="0"/>
        <w:spacing w:before="240"/>
        <w:rPr>
          <w:rFonts w:asciiTheme="minorHAnsi" w:hAnsiTheme="minorHAnsi" w:cs="Times New Roman"/>
          <w:sz w:val="24"/>
          <w:szCs w:val="24"/>
        </w:rPr>
      </w:pPr>
      <w:r w:rsidRPr="00F7585F">
        <w:rPr>
          <w:rFonts w:asciiTheme="minorHAnsi" w:hAnsiTheme="minorHAnsi" w:cs="Times New Roman"/>
          <w:sz w:val="24"/>
          <w:szCs w:val="24"/>
        </w:rPr>
        <w:t xml:space="preserve">66. In response to the comments filed by the Bureau of Reclamation, we agree that there is a difference between the automatic voltage regulator being “in service” and the automatic voltage regulator being “in automatic voltage control mode.” As the Bureau of Reclamation explained, modern excitation systems can include several control function modes, one of which is automatic voltage regulator mode. If the excitation controller is operating in automatic voltage regulator mode, then the generator is operating in automatic voltage control mode. If the excitation controller is operating in another mode, the generator is not operating in automatic voltage control mode. Accordingly, we believe that VAR-002-WECC-1 makes this distinction clear by requiring synchronous generators and synchronous condensers to have the automatic voltage regulator in service and in automatic voltage control mode. </w:t>
      </w:r>
    </w:p>
    <w:p w:rsidR="001E5787" w:rsidRDefault="001E5787" w:rsidP="001E5787">
      <w:pPr>
        <w:pStyle w:val="NoSpacing"/>
      </w:pPr>
    </w:p>
    <w:p w:rsidR="001E5787" w:rsidRDefault="003315B3" w:rsidP="001E5787">
      <w:pPr>
        <w:pStyle w:val="NoSpacing"/>
        <w:rPr>
          <w:rFonts w:asciiTheme="minorHAnsi" w:hAnsiTheme="minorHAnsi"/>
          <w:b/>
          <w:sz w:val="24"/>
          <w:u w:val="single"/>
        </w:rPr>
      </w:pPr>
      <w:r w:rsidRPr="001E5787">
        <w:rPr>
          <w:rFonts w:asciiTheme="minorHAnsi" w:hAnsiTheme="minorHAnsi"/>
          <w:b/>
          <w:sz w:val="24"/>
          <w:u w:val="single"/>
        </w:rPr>
        <w:t>Revision History</w:t>
      </w:r>
    </w:p>
    <w:p w:rsidR="001E5787" w:rsidRPr="001E5787" w:rsidRDefault="001E5787" w:rsidP="001E5787">
      <w:pPr>
        <w:pStyle w:val="NoSpacing"/>
        <w:rPr>
          <w:rFonts w:asciiTheme="minorHAnsi" w:hAnsiTheme="minorHAnsi"/>
          <w:b/>
          <w:sz w:val="24"/>
          <w:u w:val="single"/>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3330"/>
        <w:gridCol w:w="5130"/>
      </w:tblGrid>
      <w:tr w:rsidR="001E5787" w:rsidRPr="001E5787" w:rsidTr="00AB5975">
        <w:tc>
          <w:tcPr>
            <w:tcW w:w="2358" w:type="dxa"/>
            <w:shd w:val="clear" w:color="auto" w:fill="DCDCFA"/>
          </w:tcPr>
          <w:p w:rsidR="00A367FA" w:rsidRPr="001E5787" w:rsidRDefault="00A367FA" w:rsidP="001E5787">
            <w:pPr>
              <w:pStyle w:val="NoSpacing"/>
              <w:rPr>
                <w:rFonts w:asciiTheme="minorHAnsi" w:hAnsiTheme="minorHAnsi"/>
                <w:sz w:val="24"/>
              </w:rPr>
            </w:pPr>
            <w:r w:rsidRPr="001E5787">
              <w:rPr>
                <w:rFonts w:asciiTheme="minorHAnsi" w:hAnsiTheme="minorHAnsi"/>
                <w:sz w:val="24"/>
              </w:rPr>
              <w:t>Date</w:t>
            </w:r>
          </w:p>
        </w:tc>
        <w:tc>
          <w:tcPr>
            <w:tcW w:w="3330" w:type="dxa"/>
            <w:shd w:val="clear" w:color="auto" w:fill="DCDCFA"/>
          </w:tcPr>
          <w:p w:rsidR="00A367FA" w:rsidRPr="001E5787" w:rsidRDefault="00A367FA" w:rsidP="001E5787">
            <w:pPr>
              <w:pStyle w:val="NoSpacing"/>
              <w:rPr>
                <w:rFonts w:asciiTheme="minorHAnsi" w:hAnsiTheme="minorHAnsi"/>
                <w:sz w:val="24"/>
              </w:rPr>
            </w:pPr>
            <w:r w:rsidRPr="001E5787">
              <w:rPr>
                <w:rFonts w:asciiTheme="minorHAnsi" w:hAnsiTheme="minorHAnsi"/>
                <w:sz w:val="24"/>
              </w:rPr>
              <w:t>Reviewers</w:t>
            </w:r>
          </w:p>
        </w:tc>
        <w:tc>
          <w:tcPr>
            <w:tcW w:w="5130" w:type="dxa"/>
            <w:shd w:val="clear" w:color="auto" w:fill="DCDCFA"/>
          </w:tcPr>
          <w:p w:rsidR="00A367FA" w:rsidRPr="001E5787" w:rsidRDefault="00A367FA" w:rsidP="001E5787">
            <w:pPr>
              <w:pStyle w:val="NoSpacing"/>
              <w:rPr>
                <w:rFonts w:asciiTheme="minorHAnsi" w:hAnsiTheme="minorHAnsi"/>
                <w:sz w:val="24"/>
              </w:rPr>
            </w:pPr>
            <w:r w:rsidRPr="001E5787">
              <w:rPr>
                <w:rFonts w:asciiTheme="minorHAnsi" w:hAnsiTheme="minorHAnsi"/>
                <w:sz w:val="24"/>
              </w:rPr>
              <w:t>Revision Description</w:t>
            </w:r>
          </w:p>
        </w:tc>
      </w:tr>
      <w:tr w:rsidR="001E5787" w:rsidRPr="001E5787" w:rsidTr="00AB5975">
        <w:tc>
          <w:tcPr>
            <w:tcW w:w="2358" w:type="dxa"/>
          </w:tcPr>
          <w:p w:rsidR="00A367FA" w:rsidRPr="001E5787" w:rsidRDefault="00A367FA" w:rsidP="001E5787">
            <w:pPr>
              <w:pStyle w:val="NoSpacing"/>
              <w:rPr>
                <w:rFonts w:asciiTheme="minorHAnsi" w:hAnsiTheme="minorHAnsi"/>
                <w:sz w:val="24"/>
              </w:rPr>
            </w:pPr>
            <w:r w:rsidRPr="001E5787">
              <w:rPr>
                <w:rFonts w:asciiTheme="minorHAnsi" w:hAnsiTheme="minorHAnsi"/>
                <w:sz w:val="24"/>
              </w:rPr>
              <w:t>July 2011</w:t>
            </w:r>
          </w:p>
        </w:tc>
        <w:tc>
          <w:tcPr>
            <w:tcW w:w="3330" w:type="dxa"/>
          </w:tcPr>
          <w:p w:rsidR="00A367FA" w:rsidRPr="001E5787" w:rsidRDefault="00A367FA" w:rsidP="001E5787">
            <w:pPr>
              <w:pStyle w:val="NoSpacing"/>
              <w:rPr>
                <w:rFonts w:asciiTheme="minorHAnsi" w:hAnsiTheme="minorHAnsi"/>
                <w:sz w:val="24"/>
              </w:rPr>
            </w:pPr>
            <w:r w:rsidRPr="001E5787">
              <w:rPr>
                <w:rFonts w:asciiTheme="minorHAnsi" w:hAnsiTheme="minorHAnsi"/>
                <w:sz w:val="24"/>
              </w:rPr>
              <w:t>Mike Wells</w:t>
            </w:r>
          </w:p>
        </w:tc>
        <w:tc>
          <w:tcPr>
            <w:tcW w:w="5130" w:type="dxa"/>
          </w:tcPr>
          <w:p w:rsidR="00A367FA" w:rsidRPr="001E5787" w:rsidRDefault="00A367FA" w:rsidP="001E5787">
            <w:pPr>
              <w:pStyle w:val="NoSpacing"/>
              <w:rPr>
                <w:rFonts w:asciiTheme="minorHAnsi" w:hAnsiTheme="minorHAnsi"/>
                <w:sz w:val="24"/>
              </w:rPr>
            </w:pPr>
            <w:r w:rsidRPr="001E5787">
              <w:rPr>
                <w:rFonts w:asciiTheme="minorHAnsi" w:hAnsiTheme="minorHAnsi"/>
                <w:sz w:val="24"/>
              </w:rPr>
              <w:t>Initial RSAW for VAR-002-WECC-1</w:t>
            </w:r>
          </w:p>
        </w:tc>
      </w:tr>
      <w:tr w:rsidR="001E5787" w:rsidRPr="001E5787" w:rsidTr="00AB5975">
        <w:tc>
          <w:tcPr>
            <w:tcW w:w="2358" w:type="dxa"/>
          </w:tcPr>
          <w:p w:rsidR="00A367FA" w:rsidRPr="001E5787" w:rsidRDefault="00A367FA" w:rsidP="001E5787">
            <w:pPr>
              <w:pStyle w:val="NoSpacing"/>
              <w:rPr>
                <w:rFonts w:asciiTheme="minorHAnsi" w:hAnsiTheme="minorHAnsi"/>
                <w:sz w:val="24"/>
              </w:rPr>
            </w:pPr>
            <w:r w:rsidRPr="001E5787">
              <w:rPr>
                <w:rFonts w:asciiTheme="minorHAnsi" w:hAnsiTheme="minorHAnsi"/>
                <w:sz w:val="24"/>
              </w:rPr>
              <w:t>January 2013</w:t>
            </w:r>
          </w:p>
        </w:tc>
        <w:tc>
          <w:tcPr>
            <w:tcW w:w="3330" w:type="dxa"/>
          </w:tcPr>
          <w:p w:rsidR="00A367FA" w:rsidRPr="001E5787" w:rsidRDefault="00A367FA" w:rsidP="001E5787">
            <w:pPr>
              <w:pStyle w:val="NoSpacing"/>
              <w:rPr>
                <w:rFonts w:asciiTheme="minorHAnsi" w:hAnsiTheme="minorHAnsi"/>
                <w:sz w:val="24"/>
              </w:rPr>
            </w:pPr>
            <w:r w:rsidRPr="001E5787">
              <w:rPr>
                <w:rFonts w:asciiTheme="minorHAnsi" w:hAnsiTheme="minorHAnsi"/>
                <w:sz w:val="24"/>
              </w:rPr>
              <w:t>Mindee Hawes</w:t>
            </w:r>
          </w:p>
        </w:tc>
        <w:tc>
          <w:tcPr>
            <w:tcW w:w="5130" w:type="dxa"/>
          </w:tcPr>
          <w:p w:rsidR="00A367FA" w:rsidRPr="001E5787" w:rsidRDefault="00A367FA" w:rsidP="001E5787">
            <w:pPr>
              <w:pStyle w:val="NoSpacing"/>
              <w:rPr>
                <w:rFonts w:asciiTheme="minorHAnsi" w:hAnsiTheme="minorHAnsi"/>
                <w:sz w:val="24"/>
              </w:rPr>
            </w:pPr>
            <w:r w:rsidRPr="001E5787">
              <w:rPr>
                <w:rFonts w:asciiTheme="minorHAnsi" w:hAnsiTheme="minorHAnsi"/>
                <w:sz w:val="24"/>
              </w:rPr>
              <w:t>Updated Template for 2013</w:t>
            </w:r>
          </w:p>
        </w:tc>
      </w:tr>
      <w:tr w:rsidR="001E5787" w:rsidRPr="001E5787" w:rsidTr="00AB5975">
        <w:tc>
          <w:tcPr>
            <w:tcW w:w="2358" w:type="dxa"/>
          </w:tcPr>
          <w:p w:rsidR="00A367FA" w:rsidRPr="001E5787" w:rsidRDefault="00A367FA" w:rsidP="001E5787">
            <w:pPr>
              <w:pStyle w:val="NoSpacing"/>
              <w:rPr>
                <w:rFonts w:asciiTheme="minorHAnsi" w:hAnsiTheme="minorHAnsi"/>
                <w:sz w:val="24"/>
              </w:rPr>
            </w:pPr>
            <w:r w:rsidRPr="001E5787">
              <w:rPr>
                <w:rFonts w:asciiTheme="minorHAnsi" w:hAnsiTheme="minorHAnsi"/>
                <w:sz w:val="24"/>
              </w:rPr>
              <w:t>January 2014</w:t>
            </w:r>
          </w:p>
        </w:tc>
        <w:tc>
          <w:tcPr>
            <w:tcW w:w="3330" w:type="dxa"/>
          </w:tcPr>
          <w:p w:rsidR="00A367FA" w:rsidRPr="001E5787" w:rsidRDefault="00A367FA" w:rsidP="001E5787">
            <w:pPr>
              <w:pStyle w:val="NoSpacing"/>
              <w:rPr>
                <w:rFonts w:asciiTheme="minorHAnsi" w:hAnsiTheme="minorHAnsi"/>
                <w:sz w:val="24"/>
              </w:rPr>
            </w:pPr>
            <w:r w:rsidRPr="001E5787">
              <w:rPr>
                <w:rFonts w:asciiTheme="minorHAnsi" w:hAnsiTheme="minorHAnsi"/>
                <w:sz w:val="24"/>
              </w:rPr>
              <w:t>Nickole B. Radabaugh</w:t>
            </w:r>
          </w:p>
        </w:tc>
        <w:tc>
          <w:tcPr>
            <w:tcW w:w="5130" w:type="dxa"/>
          </w:tcPr>
          <w:p w:rsidR="00A367FA" w:rsidRPr="001E5787" w:rsidRDefault="00A367FA" w:rsidP="001E5787">
            <w:pPr>
              <w:pStyle w:val="NoSpacing"/>
              <w:rPr>
                <w:rFonts w:asciiTheme="minorHAnsi" w:hAnsiTheme="minorHAnsi"/>
                <w:sz w:val="24"/>
              </w:rPr>
            </w:pPr>
            <w:r w:rsidRPr="001E5787">
              <w:rPr>
                <w:rFonts w:asciiTheme="minorHAnsi" w:hAnsiTheme="minorHAnsi"/>
                <w:sz w:val="24"/>
              </w:rPr>
              <w:t>Reviewed for format consistency and content.</w:t>
            </w:r>
          </w:p>
        </w:tc>
      </w:tr>
      <w:tr w:rsidR="001E5787" w:rsidRPr="001E5787" w:rsidTr="00AB5975">
        <w:tc>
          <w:tcPr>
            <w:tcW w:w="2358" w:type="dxa"/>
          </w:tcPr>
          <w:p w:rsidR="00A367FA" w:rsidRPr="001E5787" w:rsidRDefault="00A367FA" w:rsidP="001E5787">
            <w:pPr>
              <w:pStyle w:val="NoSpacing"/>
              <w:rPr>
                <w:rFonts w:asciiTheme="minorHAnsi" w:hAnsiTheme="minorHAnsi"/>
                <w:sz w:val="24"/>
              </w:rPr>
            </w:pPr>
            <w:r w:rsidRPr="001E5787">
              <w:rPr>
                <w:rFonts w:asciiTheme="minorHAnsi" w:hAnsiTheme="minorHAnsi"/>
                <w:sz w:val="24"/>
              </w:rPr>
              <w:t>December 2014</w:t>
            </w:r>
          </w:p>
        </w:tc>
        <w:tc>
          <w:tcPr>
            <w:tcW w:w="3330" w:type="dxa"/>
          </w:tcPr>
          <w:p w:rsidR="00A367FA" w:rsidRPr="001E5787" w:rsidRDefault="00A367FA" w:rsidP="001E5787">
            <w:pPr>
              <w:pStyle w:val="NoSpacing"/>
              <w:rPr>
                <w:rFonts w:asciiTheme="minorHAnsi" w:hAnsiTheme="minorHAnsi"/>
                <w:sz w:val="24"/>
              </w:rPr>
            </w:pPr>
            <w:r w:rsidRPr="001E5787">
              <w:rPr>
                <w:rFonts w:asciiTheme="minorHAnsi" w:hAnsiTheme="minorHAnsi"/>
                <w:sz w:val="24"/>
              </w:rPr>
              <w:t>WECC Compliance Staff</w:t>
            </w:r>
          </w:p>
        </w:tc>
        <w:tc>
          <w:tcPr>
            <w:tcW w:w="5130" w:type="dxa"/>
          </w:tcPr>
          <w:p w:rsidR="00A367FA" w:rsidRPr="001E5787" w:rsidRDefault="00A367FA" w:rsidP="001E5787">
            <w:pPr>
              <w:pStyle w:val="NoSpacing"/>
              <w:rPr>
                <w:rFonts w:asciiTheme="minorHAnsi" w:hAnsiTheme="minorHAnsi"/>
                <w:sz w:val="24"/>
              </w:rPr>
            </w:pPr>
            <w:r w:rsidRPr="001E5787">
              <w:rPr>
                <w:rFonts w:asciiTheme="minorHAnsi" w:hAnsiTheme="minorHAnsi"/>
                <w:sz w:val="24"/>
              </w:rPr>
              <w:t>Updated formatting for 2015</w:t>
            </w:r>
          </w:p>
        </w:tc>
      </w:tr>
      <w:tr w:rsidR="006F571F" w:rsidRPr="00DD3ABF" w:rsidTr="00AB5975">
        <w:tc>
          <w:tcPr>
            <w:tcW w:w="2358" w:type="dxa"/>
            <w:tcBorders>
              <w:top w:val="single" w:sz="4" w:space="0" w:color="000000"/>
              <w:left w:val="single" w:sz="4" w:space="0" w:color="000000"/>
              <w:bottom w:val="single" w:sz="4" w:space="0" w:color="000000"/>
              <w:right w:val="single" w:sz="4" w:space="0" w:color="000000"/>
            </w:tcBorders>
          </w:tcPr>
          <w:p w:rsidR="006F571F" w:rsidRPr="006F571F" w:rsidRDefault="006F571F" w:rsidP="006F571F">
            <w:pPr>
              <w:pStyle w:val="NoSpacing"/>
              <w:rPr>
                <w:rFonts w:asciiTheme="minorHAnsi" w:hAnsiTheme="minorHAnsi"/>
                <w:sz w:val="24"/>
              </w:rPr>
            </w:pPr>
            <w:r w:rsidRPr="006F571F">
              <w:rPr>
                <w:rFonts w:asciiTheme="minorHAnsi" w:hAnsiTheme="minorHAnsi"/>
                <w:sz w:val="24"/>
              </w:rPr>
              <w:t>February 2015</w:t>
            </w:r>
          </w:p>
        </w:tc>
        <w:tc>
          <w:tcPr>
            <w:tcW w:w="3330" w:type="dxa"/>
            <w:tcBorders>
              <w:top w:val="single" w:sz="4" w:space="0" w:color="000000"/>
              <w:left w:val="single" w:sz="4" w:space="0" w:color="000000"/>
              <w:bottom w:val="single" w:sz="4" w:space="0" w:color="000000"/>
              <w:right w:val="single" w:sz="4" w:space="0" w:color="000000"/>
            </w:tcBorders>
          </w:tcPr>
          <w:p w:rsidR="006F571F" w:rsidRPr="006F571F" w:rsidRDefault="006F571F" w:rsidP="006F571F">
            <w:pPr>
              <w:pStyle w:val="NoSpacing"/>
              <w:rPr>
                <w:rFonts w:asciiTheme="minorHAnsi" w:hAnsiTheme="minorHAnsi"/>
                <w:sz w:val="24"/>
              </w:rPr>
            </w:pPr>
            <w:r w:rsidRPr="006F571F">
              <w:rPr>
                <w:rFonts w:asciiTheme="minorHAnsi" w:hAnsiTheme="minorHAnsi"/>
                <w:sz w:val="24"/>
              </w:rPr>
              <w:t>WECC Compliance</w:t>
            </w:r>
          </w:p>
        </w:tc>
        <w:tc>
          <w:tcPr>
            <w:tcW w:w="5130" w:type="dxa"/>
            <w:tcBorders>
              <w:top w:val="single" w:sz="4" w:space="0" w:color="000000"/>
              <w:left w:val="single" w:sz="4" w:space="0" w:color="000000"/>
              <w:bottom w:val="single" w:sz="4" w:space="0" w:color="000000"/>
              <w:right w:val="single" w:sz="4" w:space="0" w:color="000000"/>
            </w:tcBorders>
          </w:tcPr>
          <w:p w:rsidR="006F571F" w:rsidRPr="006F571F" w:rsidRDefault="006F571F" w:rsidP="006F571F">
            <w:pPr>
              <w:pStyle w:val="NoSpacing"/>
              <w:rPr>
                <w:rFonts w:asciiTheme="minorHAnsi" w:hAnsiTheme="minorHAnsi"/>
                <w:sz w:val="24"/>
              </w:rPr>
            </w:pPr>
            <w:r w:rsidRPr="006F571F">
              <w:rPr>
                <w:rFonts w:asciiTheme="minorHAnsi" w:hAnsiTheme="minorHAnsi"/>
                <w:sz w:val="24"/>
              </w:rPr>
              <w:t>Removed Audit Id line from cover page</w:t>
            </w:r>
          </w:p>
        </w:tc>
      </w:tr>
      <w:tr w:rsidR="006F571F" w:rsidTr="00AB5975">
        <w:tc>
          <w:tcPr>
            <w:tcW w:w="2358" w:type="dxa"/>
            <w:tcBorders>
              <w:top w:val="single" w:sz="4" w:space="0" w:color="000000"/>
              <w:left w:val="single" w:sz="4" w:space="0" w:color="000000"/>
              <w:bottom w:val="single" w:sz="4" w:space="0" w:color="000000"/>
              <w:right w:val="single" w:sz="4" w:space="0" w:color="000000"/>
            </w:tcBorders>
          </w:tcPr>
          <w:p w:rsidR="006F571F" w:rsidRPr="006F571F" w:rsidRDefault="00AB5975" w:rsidP="006F571F">
            <w:pPr>
              <w:pStyle w:val="NoSpacing"/>
              <w:rPr>
                <w:rFonts w:asciiTheme="minorHAnsi" w:hAnsiTheme="minorHAnsi"/>
                <w:sz w:val="24"/>
              </w:rPr>
            </w:pPr>
            <w:r>
              <w:rPr>
                <w:rFonts w:asciiTheme="minorHAnsi" w:hAnsiTheme="minorHAnsi"/>
                <w:sz w:val="24"/>
              </w:rPr>
              <w:t>July 2015</w:t>
            </w:r>
          </w:p>
        </w:tc>
        <w:tc>
          <w:tcPr>
            <w:tcW w:w="3330" w:type="dxa"/>
            <w:tcBorders>
              <w:top w:val="single" w:sz="4" w:space="0" w:color="000000"/>
              <w:left w:val="single" w:sz="4" w:space="0" w:color="000000"/>
              <w:bottom w:val="single" w:sz="4" w:space="0" w:color="000000"/>
              <w:right w:val="single" w:sz="4" w:space="0" w:color="000000"/>
            </w:tcBorders>
          </w:tcPr>
          <w:p w:rsidR="006F571F" w:rsidRPr="006F571F" w:rsidRDefault="00AB5975" w:rsidP="006F571F">
            <w:pPr>
              <w:pStyle w:val="NoSpacing"/>
              <w:rPr>
                <w:rFonts w:asciiTheme="minorHAnsi" w:hAnsiTheme="minorHAnsi"/>
                <w:sz w:val="24"/>
              </w:rPr>
            </w:pPr>
            <w:r w:rsidRPr="006F571F">
              <w:rPr>
                <w:rFonts w:asciiTheme="minorHAnsi" w:hAnsiTheme="minorHAnsi"/>
                <w:sz w:val="24"/>
              </w:rPr>
              <w:t>WECC Compliance</w:t>
            </w:r>
          </w:p>
        </w:tc>
        <w:tc>
          <w:tcPr>
            <w:tcW w:w="5130" w:type="dxa"/>
            <w:tcBorders>
              <w:top w:val="single" w:sz="4" w:space="0" w:color="000000"/>
              <w:left w:val="single" w:sz="4" w:space="0" w:color="000000"/>
              <w:bottom w:val="single" w:sz="4" w:space="0" w:color="000000"/>
              <w:right w:val="single" w:sz="4" w:space="0" w:color="000000"/>
            </w:tcBorders>
          </w:tcPr>
          <w:p w:rsidR="006F571F" w:rsidRPr="006F571F" w:rsidRDefault="00AB5975" w:rsidP="006F571F">
            <w:pPr>
              <w:pStyle w:val="NoSpacing"/>
              <w:rPr>
                <w:rFonts w:asciiTheme="minorHAnsi" w:hAnsiTheme="minorHAnsi"/>
                <w:sz w:val="24"/>
              </w:rPr>
            </w:pPr>
            <w:r>
              <w:rPr>
                <w:rFonts w:ascii="Calibri" w:hAnsi="Calibri" w:cs="Times New Roman"/>
                <w:sz w:val="24"/>
                <w:szCs w:val="24"/>
              </w:rPr>
              <w:t>Initial RSAW for VAR-002</w:t>
            </w:r>
            <w:r w:rsidRPr="00831DCC">
              <w:rPr>
                <w:rFonts w:ascii="Calibri" w:hAnsi="Calibri" w:cs="Times New Roman"/>
                <w:sz w:val="24"/>
                <w:szCs w:val="24"/>
              </w:rPr>
              <w:t>-WECC-</w:t>
            </w:r>
            <w:r>
              <w:rPr>
                <w:rFonts w:ascii="Calibri" w:hAnsi="Calibri" w:cs="Times New Roman"/>
                <w:sz w:val="24"/>
                <w:szCs w:val="24"/>
              </w:rPr>
              <w:t>2 (R2 retired)</w:t>
            </w:r>
          </w:p>
        </w:tc>
      </w:tr>
    </w:tbl>
    <w:p w:rsidR="00BD04FD" w:rsidRPr="00F7585F" w:rsidRDefault="00BD04FD" w:rsidP="001E5787">
      <w:pPr>
        <w:pStyle w:val="NoSpacing"/>
      </w:pPr>
    </w:p>
    <w:sectPr w:rsidR="00BD04FD" w:rsidRPr="00F7585F" w:rsidSect="003021B8">
      <w:headerReference w:type="default" r:id="rId14"/>
      <w:footerReference w:type="default" r:id="rId15"/>
      <w:pgSz w:w="12240" w:h="15840"/>
      <w:pgMar w:top="360" w:right="720" w:bottom="360" w:left="720" w:header="360" w:footer="36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165" w:rsidRDefault="00580165">
      <w:r>
        <w:separator/>
      </w:r>
    </w:p>
  </w:endnote>
  <w:endnote w:type="continuationSeparator" w:id="0">
    <w:p w:rsidR="00580165" w:rsidRDefault="0058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4C" w:rsidRPr="001D34F6" w:rsidRDefault="00937E4C" w:rsidP="00F7585F">
    <w:pPr>
      <w:widowControl w:val="0"/>
      <w:spacing w:line="310" w:lineRule="exact"/>
      <w:rPr>
        <w:rFonts w:asciiTheme="minorHAnsi" w:hAnsiTheme="minorHAnsi" w:cs="Times New Roman"/>
        <w:sz w:val="18"/>
        <w:szCs w:val="18"/>
      </w:rPr>
    </w:pPr>
    <w:r>
      <w:rPr>
        <w:rFonts w:asciiTheme="minorHAnsi" w:hAnsiTheme="minorHAnsi" w:cs="Times New Roman"/>
        <w:sz w:val="18"/>
        <w:szCs w:val="18"/>
      </w:rPr>
      <w:t>WECC</w:t>
    </w:r>
    <w:r w:rsidRPr="001D34F6">
      <w:rPr>
        <w:rFonts w:asciiTheme="minorHAnsi" w:hAnsiTheme="minorHAnsi" w:cs="Times New Roman"/>
        <w:sz w:val="18"/>
        <w:szCs w:val="18"/>
      </w:rPr>
      <w:t xml:space="preserve"> Reliability Standard Audit Worksheet </w:t>
    </w:r>
  </w:p>
  <w:p w:rsidR="00937E4C" w:rsidRPr="001D34F6" w:rsidRDefault="00937E4C" w:rsidP="00F7585F">
    <w:pPr>
      <w:widowControl w:val="0"/>
      <w:spacing w:line="220" w:lineRule="exact"/>
      <w:rPr>
        <w:rFonts w:asciiTheme="minorHAnsi" w:hAnsiTheme="minorHAnsi" w:cs="Times New Roman"/>
        <w:sz w:val="18"/>
        <w:szCs w:val="18"/>
      </w:rPr>
    </w:pPr>
    <w:r w:rsidRPr="001D34F6">
      <w:rPr>
        <w:rFonts w:asciiTheme="minorHAnsi" w:hAnsiTheme="minorHAnsi" w:cs="Times New Roman"/>
        <w:sz w:val="18"/>
        <w:szCs w:val="18"/>
      </w:rPr>
      <w:t>Compliance Enforcement Authority</w:t>
    </w:r>
    <w:r w:rsidRPr="00A367FA">
      <w:rPr>
        <w:rFonts w:asciiTheme="minorHAnsi" w:hAnsiTheme="minorHAnsi" w:cs="Times New Roman"/>
        <w:sz w:val="18"/>
        <w:szCs w:val="18"/>
      </w:rPr>
      <w:t xml:space="preserve">:  WECC </w:t>
    </w:r>
  </w:p>
  <w:p w:rsidR="00937E4C" w:rsidRPr="001D34F6" w:rsidRDefault="00937E4C" w:rsidP="00F7585F">
    <w:pPr>
      <w:widowControl w:val="0"/>
      <w:spacing w:line="220" w:lineRule="exact"/>
      <w:rPr>
        <w:rFonts w:asciiTheme="minorHAnsi" w:hAnsiTheme="minorHAnsi" w:cs="Times New Roman"/>
        <w:sz w:val="18"/>
        <w:szCs w:val="18"/>
      </w:rPr>
    </w:pPr>
    <w:r w:rsidRPr="001D34F6">
      <w:rPr>
        <w:rFonts w:asciiTheme="minorHAnsi" w:hAnsiTheme="minorHAnsi" w:cs="Times New Roman"/>
        <w:sz w:val="18"/>
        <w:szCs w:val="18"/>
      </w:rPr>
      <w:t>Registered Entity:</w:t>
    </w:r>
  </w:p>
  <w:p w:rsidR="00937E4C" w:rsidRPr="001D34F6" w:rsidRDefault="00937E4C" w:rsidP="00F7585F">
    <w:pPr>
      <w:widowControl w:val="0"/>
      <w:spacing w:line="220" w:lineRule="exact"/>
      <w:rPr>
        <w:rFonts w:asciiTheme="minorHAnsi" w:hAnsiTheme="minorHAnsi" w:cs="Times New Roman"/>
        <w:sz w:val="18"/>
        <w:szCs w:val="18"/>
      </w:rPr>
    </w:pPr>
    <w:r w:rsidRPr="001D34F6">
      <w:rPr>
        <w:rFonts w:asciiTheme="minorHAnsi" w:hAnsiTheme="minorHAnsi" w:cs="Times New Roman"/>
        <w:sz w:val="18"/>
        <w:szCs w:val="18"/>
      </w:rPr>
      <w:t xml:space="preserve">NCR Number: </w:t>
    </w:r>
  </w:p>
  <w:p w:rsidR="00FB0941" w:rsidRPr="00A367FA" w:rsidRDefault="00A367FA" w:rsidP="00BC7D6E">
    <w:pPr>
      <w:widowControl w:val="0"/>
      <w:tabs>
        <w:tab w:val="left" w:pos="2608"/>
      </w:tabs>
      <w:spacing w:line="220" w:lineRule="exact"/>
      <w:rPr>
        <w:rFonts w:ascii="Calibri" w:hAnsi="Calibri"/>
        <w:sz w:val="18"/>
        <w:szCs w:val="18"/>
      </w:rPr>
    </w:pPr>
    <w:r>
      <w:rPr>
        <w:rFonts w:asciiTheme="minorHAnsi" w:hAnsiTheme="minorHAnsi" w:cs="Times New Roman"/>
        <w:sz w:val="18"/>
        <w:szCs w:val="18"/>
      </w:rPr>
      <w:t>Compliance Assessment Dat</w:t>
    </w:r>
    <w:r w:rsidR="00BC7D6E">
      <w:rPr>
        <w:rFonts w:asciiTheme="minorHAnsi" w:hAnsiTheme="minorHAnsi" w:cs="Times New Roman"/>
        <w:sz w:val="18"/>
        <w:szCs w:val="18"/>
      </w:rPr>
      <w:t xml:space="preserve">e: </w:t>
    </w:r>
  </w:p>
  <w:p w:rsidR="00937E4C" w:rsidRPr="00323003" w:rsidRDefault="00E34C57" w:rsidP="008F2767">
    <w:pPr>
      <w:widowControl w:val="0"/>
      <w:spacing w:line="244" w:lineRule="exact"/>
      <w:jc w:val="center"/>
      <w:rPr>
        <w:rFonts w:ascii="Times New Roman" w:hAnsi="Times New Roman" w:cs="Times New Roman"/>
      </w:rPr>
    </w:pPr>
    <w:r w:rsidRPr="00323003">
      <w:rPr>
        <w:rStyle w:val="PageNumber"/>
        <w:rFonts w:ascii="Times New Roman" w:hAnsi="Times New Roman" w:cs="Times New Roman"/>
      </w:rPr>
      <w:fldChar w:fldCharType="begin"/>
    </w:r>
    <w:r w:rsidR="00937E4C" w:rsidRPr="00323003">
      <w:rPr>
        <w:rStyle w:val="PageNumber"/>
        <w:rFonts w:ascii="Times New Roman" w:hAnsi="Times New Roman" w:cs="Times New Roman"/>
      </w:rPr>
      <w:instrText xml:space="preserve"> PAGE </w:instrText>
    </w:r>
    <w:r w:rsidRPr="00323003">
      <w:rPr>
        <w:rStyle w:val="PageNumber"/>
        <w:rFonts w:ascii="Times New Roman" w:hAnsi="Times New Roman" w:cs="Times New Roman"/>
      </w:rPr>
      <w:fldChar w:fldCharType="separate"/>
    </w:r>
    <w:r w:rsidR="00FC6F7B">
      <w:rPr>
        <w:rStyle w:val="PageNumber"/>
        <w:rFonts w:ascii="Times New Roman" w:hAnsi="Times New Roman" w:cs="Times New Roman"/>
        <w:noProof/>
      </w:rPr>
      <w:t>2</w:t>
    </w:r>
    <w:r w:rsidRPr="00323003">
      <w:rPr>
        <w:rStyle w:val="PageNumbe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165" w:rsidRDefault="00580165">
      <w:r>
        <w:separator/>
      </w:r>
    </w:p>
  </w:footnote>
  <w:footnote w:type="continuationSeparator" w:id="0">
    <w:p w:rsidR="00580165" w:rsidRDefault="00580165">
      <w:r>
        <w:continuationSeparator/>
      </w:r>
    </w:p>
  </w:footnote>
  <w:footnote w:id="1">
    <w:p w:rsidR="003315B3" w:rsidRPr="00B95A10" w:rsidRDefault="003315B3" w:rsidP="00F7585F">
      <w:pPr>
        <w:widowControl w:val="0"/>
        <w:tabs>
          <w:tab w:val="left" w:pos="0"/>
        </w:tabs>
        <w:jc w:val="both"/>
        <w:rPr>
          <w:rFonts w:asciiTheme="minorHAnsi" w:hAnsiTheme="minorHAnsi" w:cs="Times New Roman"/>
          <w:sz w:val="14"/>
          <w:szCs w:val="16"/>
        </w:rPr>
      </w:pPr>
      <w:r w:rsidRPr="00B95A10">
        <w:rPr>
          <w:rStyle w:val="FootnoteReference"/>
          <w:rFonts w:asciiTheme="minorHAnsi" w:hAnsiTheme="minorHAnsi"/>
          <w:sz w:val="14"/>
          <w:szCs w:val="16"/>
        </w:rPr>
        <w:footnoteRef/>
      </w:r>
      <w:r w:rsidRPr="00B95A10">
        <w:rPr>
          <w:sz w:val="22"/>
        </w:rPr>
        <w:t xml:space="preserve"> </w:t>
      </w:r>
      <w:r w:rsidRPr="00B95A10">
        <w:rPr>
          <w:rFonts w:asciiTheme="minorHAnsi" w:hAnsiTheme="minorHAnsi" w:cs="Times New Roman"/>
          <w:sz w:val="14"/>
          <w:szCs w:val="16"/>
        </w:rPr>
        <w:t>WECC developed this Reliability Standard Audit Worksheet (RSAW) language in order to facilitate WECC and the Regional Entities’ assessment of a registered entity’s compliance with this Reliability Standard.  The WECC RSAW language is written to specific versions of each WECC Reliability Standard.  Entities using this RSAW should choose the version of the RSAW applicable to the Reliability Standard being assessed.  While the information included in this RSAW provides some of the methodology that WECC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WECC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3315B3" w:rsidRPr="00B95A10" w:rsidRDefault="003315B3" w:rsidP="00F7585F">
      <w:pPr>
        <w:jc w:val="both"/>
        <w:rPr>
          <w:rFonts w:asciiTheme="minorHAnsi" w:hAnsiTheme="minorHAnsi" w:cs="Times New Roman"/>
          <w:sz w:val="14"/>
          <w:szCs w:val="16"/>
        </w:rPr>
      </w:pPr>
    </w:p>
    <w:p w:rsidR="00937E4C" w:rsidRPr="00B95A10" w:rsidRDefault="003315B3" w:rsidP="00F7585F">
      <w:pPr>
        <w:jc w:val="both"/>
        <w:rPr>
          <w:rFonts w:asciiTheme="minorHAnsi" w:hAnsiTheme="minorHAnsi" w:cs="Times New Roman"/>
          <w:sz w:val="14"/>
          <w:szCs w:val="16"/>
        </w:rPr>
      </w:pPr>
      <w:r w:rsidRPr="00B95A10">
        <w:rPr>
          <w:rFonts w:asciiTheme="minorHAnsi" w:hAnsiTheme="minorHAnsi" w:cs="Times New Roman"/>
          <w:sz w:val="14"/>
          <w:szCs w:val="16"/>
        </w:rPr>
        <w:t>The WECC RSAW language contained within this document provides a non</w:t>
      </w:r>
      <w:r w:rsidRPr="00B95A10">
        <w:rPr>
          <w:rFonts w:asciiTheme="minorHAnsi" w:hAnsiTheme="minorHAnsi" w:cs="Times New Roman"/>
          <w:sz w:val="14"/>
          <w:szCs w:val="16"/>
        </w:rPr>
        <w:noBreakHyphen/>
        <w:t>exclusive list, for informational purposes only, of examples of the types of evidence a registered entity ma</w:t>
      </w:r>
      <w:r w:rsidR="00937E4C" w:rsidRPr="00B95A10">
        <w:rPr>
          <w:rFonts w:asciiTheme="minorHAnsi" w:hAnsiTheme="minorHAnsi" w:cs="Times New Roman"/>
          <w:sz w:val="14"/>
          <w:szCs w:val="16"/>
        </w:rPr>
        <w:t xml:space="preserve">y produce or may be asked to produce to demonstrate compliance with the Reliability Standard.  A registered entity’s adherence to the examples contained within this RSAW does not necessarily constitute compliance with the applicable Reliability Standard, and WECC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w:t>
      </w:r>
      <w:proofErr w:type="gramStart"/>
      <w:r w:rsidR="00937E4C" w:rsidRPr="00B95A10">
        <w:rPr>
          <w:rFonts w:asciiTheme="minorHAnsi" w:hAnsiTheme="minorHAnsi" w:cs="Times New Roman"/>
          <w:sz w:val="14"/>
          <w:szCs w:val="16"/>
        </w:rPr>
        <w:t>only,</w:t>
      </w:r>
      <w:proofErr w:type="gramEnd"/>
      <w:r w:rsidR="00937E4C" w:rsidRPr="00B95A10">
        <w:rPr>
          <w:rFonts w:asciiTheme="minorHAnsi" w:hAnsiTheme="minorHAnsi" w:cs="Times New Roman"/>
          <w:sz w:val="14"/>
          <w:szCs w:val="16"/>
        </w:rPr>
        <w:t xml:space="preserve"> and this document does not necessarily include all applicable Order provisions.  In the event of a discrepancy between FERC Orders, and the language included in this document, FERC Orders shall prevail.   </w:t>
      </w:r>
    </w:p>
    <w:p w:rsidR="00937E4C" w:rsidRPr="00E62F78" w:rsidRDefault="00937E4C" w:rsidP="00F7585F">
      <w:pPr>
        <w:pStyle w:val="FootnoteText"/>
        <w:rPr>
          <w:sz w:val="22"/>
        </w:rPr>
      </w:pPr>
    </w:p>
  </w:footnote>
  <w:footnote w:id="2">
    <w:p w:rsidR="003021B8" w:rsidRDefault="003021B8" w:rsidP="003021B8">
      <w:pPr>
        <w:pStyle w:val="FootnoteText"/>
        <w:rPr>
          <w:rFonts w:asciiTheme="minorHAnsi" w:hAnsiTheme="minorHAnsi" w:cs="Times New Roman"/>
          <w:sz w:val="16"/>
          <w:szCs w:val="16"/>
        </w:rPr>
      </w:pPr>
      <w:r>
        <w:rPr>
          <w:rStyle w:val="FootnoteReference"/>
          <w:rFonts w:asciiTheme="minorHAnsi" w:hAnsiTheme="minorHAnsi"/>
          <w:sz w:val="16"/>
          <w:szCs w:val="16"/>
        </w:rPr>
        <w:footnoteRef/>
      </w:r>
      <w:r>
        <w:t xml:space="preserve"> </w:t>
      </w:r>
      <w:r>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A65" w:rsidRDefault="00A83A65" w:rsidP="00A83A65">
    <w:pPr>
      <w:widowControl w:val="0"/>
      <w:spacing w:line="294" w:lineRule="exact"/>
      <w:rPr>
        <w:rFonts w:ascii="Times New Roman" w:hAnsi="Times New Roman" w:cs="Times New Roman"/>
        <w:b/>
        <w:bCs/>
        <w:color w:val="003366"/>
        <w:sz w:val="28"/>
        <w:szCs w:val="28"/>
      </w:rPr>
    </w:pPr>
  </w:p>
  <w:p w:rsidR="00A83A65" w:rsidRPr="00F34FCA" w:rsidRDefault="00A83A65" w:rsidP="00A83A65">
    <w:pPr>
      <w:widowControl w:val="0"/>
      <w:spacing w:line="294" w:lineRule="exact"/>
      <w:jc w:val="center"/>
      <w:rPr>
        <w:rFonts w:asciiTheme="minorHAnsi" w:hAnsiTheme="minorHAnsi" w:cs="Times New Roman"/>
        <w:b/>
        <w:bCs/>
        <w:color w:val="003366"/>
        <w:sz w:val="28"/>
        <w:szCs w:val="28"/>
      </w:rPr>
    </w:pPr>
    <w:r w:rsidRPr="00F34FCA">
      <w:rPr>
        <w:rFonts w:asciiTheme="minorHAnsi" w:hAnsiTheme="minorHAnsi" w:cs="Times New Roman"/>
        <w:b/>
        <w:bCs/>
        <w:color w:val="003366"/>
        <w:sz w:val="28"/>
        <w:szCs w:val="28"/>
      </w:rPr>
      <w:t>WECC Reliability Standard Audit Worksheet</w:t>
    </w:r>
  </w:p>
  <w:p w:rsidR="00A83A65" w:rsidRPr="00F34FCA" w:rsidRDefault="00A83A65" w:rsidP="00A83A65">
    <w:pPr>
      <w:widowControl w:val="0"/>
      <w:spacing w:line="294" w:lineRule="exact"/>
      <w:jc w:val="center"/>
      <w:rPr>
        <w:rFonts w:asciiTheme="minorHAnsi" w:hAnsiTheme="minorHAnsi" w:cs="Times New Roman"/>
        <w:b/>
        <w:bCs/>
        <w:color w:val="003366"/>
        <w:sz w:val="28"/>
        <w:szCs w:val="28"/>
      </w:rPr>
    </w:pPr>
    <w:r w:rsidRPr="00F34FCA">
      <w:rPr>
        <w:rFonts w:asciiTheme="minorHAnsi" w:hAnsiTheme="minorHAnsi" w:cs="Times New Roman"/>
        <w:b/>
        <w:bCs/>
        <w:sz w:val="28"/>
        <w:szCs w:val="28"/>
      </w:rPr>
      <w:t>Confidential Non-Public, Do Not Distribute</w:t>
    </w:r>
  </w:p>
  <w:p w:rsidR="00937E4C" w:rsidRDefault="00937E4C">
    <w:pPr>
      <w:widowControl w:val="0"/>
      <w:spacing w:before="66"/>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D1C"/>
    <w:multiLevelType w:val="hybridMultilevel"/>
    <w:tmpl w:val="85323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31938"/>
    <w:multiLevelType w:val="hybridMultilevel"/>
    <w:tmpl w:val="65BAFCB0"/>
    <w:lvl w:ilvl="0" w:tplc="1EB6801A">
      <w:start w:val="1"/>
      <w:numFmt w:val="decimal"/>
      <w:pStyle w:val="FERCparanumberCharChar"/>
      <w:lvlText w:val="%1."/>
      <w:lvlJc w:val="left"/>
      <w:pPr>
        <w:tabs>
          <w:tab w:val="num" w:pos="720"/>
        </w:tabs>
        <w:ind w:left="0" w:firstLine="0"/>
      </w:pPr>
      <w:rPr>
        <w:rFonts w:hint="default"/>
        <w:b w:val="0"/>
        <w:i w:val="0"/>
        <w:sz w:val="26"/>
        <w:szCs w:val="26"/>
      </w:rPr>
    </w:lvl>
    <w:lvl w:ilvl="1" w:tplc="0182514C">
      <w:start w:val="2"/>
      <w:numFmt w:val="decimal"/>
      <w:lvlText w:val="%2."/>
      <w:lvlJc w:val="left"/>
      <w:pPr>
        <w:tabs>
          <w:tab w:val="num" w:pos="1570"/>
        </w:tabs>
        <w:ind w:left="1570" w:hanging="360"/>
      </w:pPr>
      <w:rPr>
        <w:rFonts w:ascii="Times New Roman" w:eastAsia="Times New Roman" w:hAnsi="Times New Roman" w:cs="Times New Roman"/>
        <w:u w:val="single"/>
      </w:rPr>
    </w:lvl>
    <w:lvl w:ilvl="2" w:tplc="B1C0B04A">
      <w:start w:val="1"/>
      <w:numFmt w:val="lowerRoman"/>
      <w:lvlText w:val="(%3)"/>
      <w:lvlJc w:val="left"/>
      <w:pPr>
        <w:tabs>
          <w:tab w:val="num" w:pos="2650"/>
        </w:tabs>
        <w:ind w:left="2650" w:hanging="720"/>
      </w:pPr>
      <w:rPr>
        <w:rFonts w:hint="default"/>
      </w:rPr>
    </w:lvl>
    <w:lvl w:ilvl="3" w:tplc="04090001" w:tentative="1">
      <w:start w:val="1"/>
      <w:numFmt w:val="bullet"/>
      <w:lvlText w:val=""/>
      <w:lvlJc w:val="left"/>
      <w:pPr>
        <w:tabs>
          <w:tab w:val="num" w:pos="3010"/>
        </w:tabs>
        <w:ind w:left="3010" w:hanging="360"/>
      </w:pPr>
      <w:rPr>
        <w:rFonts w:ascii="Symbol" w:hAnsi="Symbol" w:hint="default"/>
      </w:rPr>
    </w:lvl>
    <w:lvl w:ilvl="4" w:tplc="04090003" w:tentative="1">
      <w:start w:val="1"/>
      <w:numFmt w:val="bullet"/>
      <w:lvlText w:val="o"/>
      <w:lvlJc w:val="left"/>
      <w:pPr>
        <w:tabs>
          <w:tab w:val="num" w:pos="3730"/>
        </w:tabs>
        <w:ind w:left="3730" w:hanging="360"/>
      </w:pPr>
      <w:rPr>
        <w:rFonts w:ascii="Courier New" w:hAnsi="Courier New" w:cs="Courier New" w:hint="default"/>
      </w:rPr>
    </w:lvl>
    <w:lvl w:ilvl="5" w:tplc="04090005" w:tentative="1">
      <w:start w:val="1"/>
      <w:numFmt w:val="bullet"/>
      <w:lvlText w:val=""/>
      <w:lvlJc w:val="left"/>
      <w:pPr>
        <w:tabs>
          <w:tab w:val="num" w:pos="4450"/>
        </w:tabs>
        <w:ind w:left="4450" w:hanging="360"/>
      </w:pPr>
      <w:rPr>
        <w:rFonts w:ascii="Wingdings" w:hAnsi="Wingdings" w:hint="default"/>
      </w:rPr>
    </w:lvl>
    <w:lvl w:ilvl="6" w:tplc="04090001" w:tentative="1">
      <w:start w:val="1"/>
      <w:numFmt w:val="bullet"/>
      <w:lvlText w:val=""/>
      <w:lvlJc w:val="left"/>
      <w:pPr>
        <w:tabs>
          <w:tab w:val="num" w:pos="5170"/>
        </w:tabs>
        <w:ind w:left="5170" w:hanging="360"/>
      </w:pPr>
      <w:rPr>
        <w:rFonts w:ascii="Symbol" w:hAnsi="Symbol" w:hint="default"/>
      </w:rPr>
    </w:lvl>
    <w:lvl w:ilvl="7" w:tplc="04090003" w:tentative="1">
      <w:start w:val="1"/>
      <w:numFmt w:val="bullet"/>
      <w:lvlText w:val="o"/>
      <w:lvlJc w:val="left"/>
      <w:pPr>
        <w:tabs>
          <w:tab w:val="num" w:pos="5890"/>
        </w:tabs>
        <w:ind w:left="5890" w:hanging="360"/>
      </w:pPr>
      <w:rPr>
        <w:rFonts w:ascii="Courier New" w:hAnsi="Courier New" w:cs="Courier New" w:hint="default"/>
      </w:rPr>
    </w:lvl>
    <w:lvl w:ilvl="8" w:tplc="04090005" w:tentative="1">
      <w:start w:val="1"/>
      <w:numFmt w:val="bullet"/>
      <w:lvlText w:val=""/>
      <w:lvlJc w:val="left"/>
      <w:pPr>
        <w:tabs>
          <w:tab w:val="num" w:pos="6610"/>
        </w:tabs>
        <w:ind w:left="6610" w:hanging="360"/>
      </w:pPr>
      <w:rPr>
        <w:rFonts w:ascii="Wingdings" w:hAnsi="Wingdings" w:hint="default"/>
      </w:rPr>
    </w:lvl>
  </w:abstractNum>
  <w:abstractNum w:abstractNumId="2">
    <w:nsid w:val="59D50C10"/>
    <w:multiLevelType w:val="hybridMultilevel"/>
    <w:tmpl w:val="DD2EEDC8"/>
    <w:lvl w:ilvl="0" w:tplc="04090001">
      <w:start w:val="1"/>
      <w:numFmt w:val="bullet"/>
      <w:lvlText w:val=""/>
      <w:lvlJc w:val="left"/>
      <w:pPr>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21B42B6"/>
    <w:multiLevelType w:val="hybridMultilevel"/>
    <w:tmpl w:val="1194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F15642"/>
    <w:multiLevelType w:val="hybridMultilevel"/>
    <w:tmpl w:val="E910B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414D17"/>
    <w:multiLevelType w:val="hybridMultilevel"/>
    <w:tmpl w:val="23AE5528"/>
    <w:lvl w:ilvl="0" w:tplc="DBDABDDE">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047C6"/>
    <w:rsid w:val="0000782B"/>
    <w:rsid w:val="000157A2"/>
    <w:rsid w:val="00015C26"/>
    <w:rsid w:val="00032BC0"/>
    <w:rsid w:val="00050FE8"/>
    <w:rsid w:val="00057A68"/>
    <w:rsid w:val="00062A49"/>
    <w:rsid w:val="000939E0"/>
    <w:rsid w:val="000A2713"/>
    <w:rsid w:val="000A4478"/>
    <w:rsid w:val="000A52F6"/>
    <w:rsid w:val="000B4B1F"/>
    <w:rsid w:val="000B7E1E"/>
    <w:rsid w:val="000C4F84"/>
    <w:rsid w:val="000E2855"/>
    <w:rsid w:val="000E41ED"/>
    <w:rsid w:val="000F0A1C"/>
    <w:rsid w:val="000F4AF6"/>
    <w:rsid w:val="000F4D35"/>
    <w:rsid w:val="000F5E13"/>
    <w:rsid w:val="00100FD6"/>
    <w:rsid w:val="00104A26"/>
    <w:rsid w:val="00106A6F"/>
    <w:rsid w:val="001155B1"/>
    <w:rsid w:val="00116F8E"/>
    <w:rsid w:val="001308E2"/>
    <w:rsid w:val="001448E5"/>
    <w:rsid w:val="001727B5"/>
    <w:rsid w:val="00175574"/>
    <w:rsid w:val="00192C6D"/>
    <w:rsid w:val="001A10AF"/>
    <w:rsid w:val="001A60CC"/>
    <w:rsid w:val="001B4B38"/>
    <w:rsid w:val="001C3AC1"/>
    <w:rsid w:val="001D467F"/>
    <w:rsid w:val="001E5787"/>
    <w:rsid w:val="001F4593"/>
    <w:rsid w:val="00207A7A"/>
    <w:rsid w:val="00243ACB"/>
    <w:rsid w:val="002478D9"/>
    <w:rsid w:val="00260B45"/>
    <w:rsid w:val="00276B06"/>
    <w:rsid w:val="00281790"/>
    <w:rsid w:val="002845A1"/>
    <w:rsid w:val="002A2C8C"/>
    <w:rsid w:val="002B21AE"/>
    <w:rsid w:val="002C6986"/>
    <w:rsid w:val="002D1F00"/>
    <w:rsid w:val="003021B8"/>
    <w:rsid w:val="00312DAF"/>
    <w:rsid w:val="00323003"/>
    <w:rsid w:val="00324E4B"/>
    <w:rsid w:val="003315B3"/>
    <w:rsid w:val="0035604C"/>
    <w:rsid w:val="00357F68"/>
    <w:rsid w:val="0036144D"/>
    <w:rsid w:val="00396135"/>
    <w:rsid w:val="003B631E"/>
    <w:rsid w:val="003C590C"/>
    <w:rsid w:val="003C759C"/>
    <w:rsid w:val="003D7D29"/>
    <w:rsid w:val="003E0982"/>
    <w:rsid w:val="003E5FE5"/>
    <w:rsid w:val="003E7EDF"/>
    <w:rsid w:val="003F1CEA"/>
    <w:rsid w:val="003F38D5"/>
    <w:rsid w:val="0040362C"/>
    <w:rsid w:val="00404A7E"/>
    <w:rsid w:val="00404D27"/>
    <w:rsid w:val="00426E53"/>
    <w:rsid w:val="00443293"/>
    <w:rsid w:val="004550E5"/>
    <w:rsid w:val="00464DE7"/>
    <w:rsid w:val="00465425"/>
    <w:rsid w:val="00473790"/>
    <w:rsid w:val="00474B4A"/>
    <w:rsid w:val="00481AB1"/>
    <w:rsid w:val="0049255B"/>
    <w:rsid w:val="004A25CF"/>
    <w:rsid w:val="004A7126"/>
    <w:rsid w:val="004B4756"/>
    <w:rsid w:val="004D0043"/>
    <w:rsid w:val="004E0362"/>
    <w:rsid w:val="004F5979"/>
    <w:rsid w:val="0050399D"/>
    <w:rsid w:val="00512408"/>
    <w:rsid w:val="00512F4B"/>
    <w:rsid w:val="005136A0"/>
    <w:rsid w:val="00537034"/>
    <w:rsid w:val="0055246A"/>
    <w:rsid w:val="005530AB"/>
    <w:rsid w:val="00565AEF"/>
    <w:rsid w:val="00567DB3"/>
    <w:rsid w:val="00580165"/>
    <w:rsid w:val="0059110B"/>
    <w:rsid w:val="005916FC"/>
    <w:rsid w:val="005934DC"/>
    <w:rsid w:val="005A73D9"/>
    <w:rsid w:val="005B5C7B"/>
    <w:rsid w:val="005C1FE1"/>
    <w:rsid w:val="005D05BB"/>
    <w:rsid w:val="005D1D5C"/>
    <w:rsid w:val="005D58A1"/>
    <w:rsid w:val="005E223B"/>
    <w:rsid w:val="005F7421"/>
    <w:rsid w:val="005F7D9C"/>
    <w:rsid w:val="00607435"/>
    <w:rsid w:val="00613FA3"/>
    <w:rsid w:val="00647DE9"/>
    <w:rsid w:val="00656ADB"/>
    <w:rsid w:val="00673C42"/>
    <w:rsid w:val="00675E27"/>
    <w:rsid w:val="00684DDA"/>
    <w:rsid w:val="006A1A99"/>
    <w:rsid w:val="006A7CFC"/>
    <w:rsid w:val="006D00FD"/>
    <w:rsid w:val="006E032A"/>
    <w:rsid w:val="006E1CC0"/>
    <w:rsid w:val="006F571F"/>
    <w:rsid w:val="006F628A"/>
    <w:rsid w:val="0071094E"/>
    <w:rsid w:val="00724A3D"/>
    <w:rsid w:val="00756289"/>
    <w:rsid w:val="00756938"/>
    <w:rsid w:val="0076336C"/>
    <w:rsid w:val="00797A32"/>
    <w:rsid w:val="007A0E0C"/>
    <w:rsid w:val="007B45C5"/>
    <w:rsid w:val="007C44D6"/>
    <w:rsid w:val="007C4B5C"/>
    <w:rsid w:val="007C659D"/>
    <w:rsid w:val="007D0ABA"/>
    <w:rsid w:val="00810FE7"/>
    <w:rsid w:val="00832FF7"/>
    <w:rsid w:val="00837127"/>
    <w:rsid w:val="00843BA4"/>
    <w:rsid w:val="008539DC"/>
    <w:rsid w:val="00853A30"/>
    <w:rsid w:val="00861282"/>
    <w:rsid w:val="008762B8"/>
    <w:rsid w:val="00877E52"/>
    <w:rsid w:val="00894768"/>
    <w:rsid w:val="00894A2F"/>
    <w:rsid w:val="00894CCA"/>
    <w:rsid w:val="008A0BA1"/>
    <w:rsid w:val="008C5E4C"/>
    <w:rsid w:val="008F2767"/>
    <w:rsid w:val="008F5446"/>
    <w:rsid w:val="00917067"/>
    <w:rsid w:val="00924EC1"/>
    <w:rsid w:val="0093067C"/>
    <w:rsid w:val="00937B5C"/>
    <w:rsid w:val="00937E4C"/>
    <w:rsid w:val="00952818"/>
    <w:rsid w:val="009548B5"/>
    <w:rsid w:val="00972612"/>
    <w:rsid w:val="00976E13"/>
    <w:rsid w:val="009A1984"/>
    <w:rsid w:val="009A4081"/>
    <w:rsid w:val="009A6B17"/>
    <w:rsid w:val="009B4ABB"/>
    <w:rsid w:val="009C039C"/>
    <w:rsid w:val="009C4318"/>
    <w:rsid w:val="009C4340"/>
    <w:rsid w:val="009C4F8E"/>
    <w:rsid w:val="009C5453"/>
    <w:rsid w:val="009C68C5"/>
    <w:rsid w:val="009D3D62"/>
    <w:rsid w:val="009D58B9"/>
    <w:rsid w:val="009F6AE3"/>
    <w:rsid w:val="00A07E6C"/>
    <w:rsid w:val="00A10643"/>
    <w:rsid w:val="00A365AC"/>
    <w:rsid w:val="00A367FA"/>
    <w:rsid w:val="00A37028"/>
    <w:rsid w:val="00A40255"/>
    <w:rsid w:val="00A40A99"/>
    <w:rsid w:val="00A53970"/>
    <w:rsid w:val="00A63C34"/>
    <w:rsid w:val="00A73263"/>
    <w:rsid w:val="00A74C27"/>
    <w:rsid w:val="00A83A65"/>
    <w:rsid w:val="00A83A70"/>
    <w:rsid w:val="00A86374"/>
    <w:rsid w:val="00AB5975"/>
    <w:rsid w:val="00AB7B39"/>
    <w:rsid w:val="00AC3322"/>
    <w:rsid w:val="00AD533C"/>
    <w:rsid w:val="00AD5422"/>
    <w:rsid w:val="00AF6862"/>
    <w:rsid w:val="00B06DE8"/>
    <w:rsid w:val="00B1218E"/>
    <w:rsid w:val="00B23C6B"/>
    <w:rsid w:val="00B258AF"/>
    <w:rsid w:val="00B3486C"/>
    <w:rsid w:val="00B36143"/>
    <w:rsid w:val="00B435EE"/>
    <w:rsid w:val="00B608A3"/>
    <w:rsid w:val="00B65A54"/>
    <w:rsid w:val="00B91700"/>
    <w:rsid w:val="00BA45BE"/>
    <w:rsid w:val="00BB02D1"/>
    <w:rsid w:val="00BB611C"/>
    <w:rsid w:val="00BC0195"/>
    <w:rsid w:val="00BC3AAA"/>
    <w:rsid w:val="00BC7D6E"/>
    <w:rsid w:val="00BD04FD"/>
    <w:rsid w:val="00BD400C"/>
    <w:rsid w:val="00BD4FBC"/>
    <w:rsid w:val="00BD6ED9"/>
    <w:rsid w:val="00BE1264"/>
    <w:rsid w:val="00BE2A33"/>
    <w:rsid w:val="00BE4F16"/>
    <w:rsid w:val="00BF207D"/>
    <w:rsid w:val="00BF3B49"/>
    <w:rsid w:val="00C058D4"/>
    <w:rsid w:val="00C060E7"/>
    <w:rsid w:val="00C11EDD"/>
    <w:rsid w:val="00C128F5"/>
    <w:rsid w:val="00C16ADA"/>
    <w:rsid w:val="00C23A94"/>
    <w:rsid w:val="00C277FA"/>
    <w:rsid w:val="00C32520"/>
    <w:rsid w:val="00C46F97"/>
    <w:rsid w:val="00C56137"/>
    <w:rsid w:val="00C568DC"/>
    <w:rsid w:val="00CB1D2F"/>
    <w:rsid w:val="00CC452E"/>
    <w:rsid w:val="00CC7D7B"/>
    <w:rsid w:val="00CD08F5"/>
    <w:rsid w:val="00CF29BA"/>
    <w:rsid w:val="00CF5895"/>
    <w:rsid w:val="00D047C6"/>
    <w:rsid w:val="00D15E9C"/>
    <w:rsid w:val="00D21C7B"/>
    <w:rsid w:val="00D33732"/>
    <w:rsid w:val="00D36F8C"/>
    <w:rsid w:val="00D45934"/>
    <w:rsid w:val="00D54754"/>
    <w:rsid w:val="00D5513A"/>
    <w:rsid w:val="00D830A2"/>
    <w:rsid w:val="00D90999"/>
    <w:rsid w:val="00DA44A1"/>
    <w:rsid w:val="00DA7E34"/>
    <w:rsid w:val="00DB1295"/>
    <w:rsid w:val="00DB4576"/>
    <w:rsid w:val="00DE3654"/>
    <w:rsid w:val="00DF517A"/>
    <w:rsid w:val="00E0105E"/>
    <w:rsid w:val="00E34C57"/>
    <w:rsid w:val="00E37A5D"/>
    <w:rsid w:val="00E462DF"/>
    <w:rsid w:val="00E57E67"/>
    <w:rsid w:val="00E679D3"/>
    <w:rsid w:val="00E8453A"/>
    <w:rsid w:val="00E901AA"/>
    <w:rsid w:val="00E93387"/>
    <w:rsid w:val="00E937CA"/>
    <w:rsid w:val="00EA34D5"/>
    <w:rsid w:val="00EB22E1"/>
    <w:rsid w:val="00EB2DD5"/>
    <w:rsid w:val="00EB7D49"/>
    <w:rsid w:val="00EC1F61"/>
    <w:rsid w:val="00ED0E7C"/>
    <w:rsid w:val="00EE621B"/>
    <w:rsid w:val="00EF0ACB"/>
    <w:rsid w:val="00F009F3"/>
    <w:rsid w:val="00F20973"/>
    <w:rsid w:val="00F23FC1"/>
    <w:rsid w:val="00F2463E"/>
    <w:rsid w:val="00F53A92"/>
    <w:rsid w:val="00F63458"/>
    <w:rsid w:val="00F74ED6"/>
    <w:rsid w:val="00F7559B"/>
    <w:rsid w:val="00F7585F"/>
    <w:rsid w:val="00F80F41"/>
    <w:rsid w:val="00FB0941"/>
    <w:rsid w:val="00FB1214"/>
    <w:rsid w:val="00FB3C49"/>
    <w:rsid w:val="00FC6F7B"/>
    <w:rsid w:val="00FD7BF6"/>
    <w:rsid w:val="00FF127A"/>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787"/>
    <w:pPr>
      <w:autoSpaceDE w:val="0"/>
      <w:autoSpaceDN w:val="0"/>
      <w:adjustRightInd w:val="0"/>
    </w:pPr>
    <w:rPr>
      <w:rFonts w:ascii="Arial" w:hAnsi="Arial" w:cs="Arial"/>
    </w:rPr>
  </w:style>
  <w:style w:type="paragraph" w:styleId="Heading1">
    <w:name w:val="heading 1"/>
    <w:basedOn w:val="Normal"/>
    <w:next w:val="Normal"/>
    <w:link w:val="Heading1Char"/>
    <w:qFormat/>
    <w:rsid w:val="00C23A94"/>
    <w:pPr>
      <w:autoSpaceDE/>
      <w:autoSpaceDN/>
      <w:adjustRightInd/>
      <w:outlineLvl w:val="0"/>
    </w:pPr>
    <w:rPr>
      <w:rFonts w:ascii="Tahoma" w:hAnsi="Tahoma" w:cs="Tahoma"/>
      <w:shadow/>
      <w:color w:val="264D7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9A1984"/>
    <w:pPr>
      <w:widowControl w:val="0"/>
      <w:tabs>
        <w:tab w:val="center" w:pos="5400"/>
      </w:tabs>
    </w:pPr>
    <w:rPr>
      <w:rFonts w:cs="Times New Roman"/>
    </w:rPr>
  </w:style>
  <w:style w:type="paragraph" w:customStyle="1" w:styleId="Style16">
    <w:name w:val="Style16"/>
    <w:basedOn w:val="Normal"/>
    <w:uiPriority w:val="99"/>
    <w:rsid w:val="009A1984"/>
    <w:pPr>
      <w:widowControl w:val="0"/>
      <w:tabs>
        <w:tab w:val="center" w:pos="5399"/>
      </w:tabs>
    </w:pPr>
    <w:rPr>
      <w:rFonts w:cs="Times New Roman"/>
    </w:rPr>
  </w:style>
  <w:style w:type="paragraph" w:styleId="Header">
    <w:name w:val="header"/>
    <w:basedOn w:val="Normal"/>
    <w:link w:val="HeaderChar"/>
    <w:uiPriority w:val="99"/>
    <w:unhideWhenUsed/>
    <w:rsid w:val="00443293"/>
    <w:pPr>
      <w:tabs>
        <w:tab w:val="center" w:pos="4680"/>
        <w:tab w:val="right" w:pos="9360"/>
      </w:tabs>
    </w:pPr>
  </w:style>
  <w:style w:type="character" w:customStyle="1" w:styleId="HeaderChar">
    <w:name w:val="Header Char"/>
    <w:basedOn w:val="DefaultParagraphFont"/>
    <w:link w:val="Header"/>
    <w:uiPriority w:val="99"/>
    <w:rsid w:val="00443293"/>
    <w:rPr>
      <w:rFonts w:ascii="Arial" w:hAnsi="Arial" w:cs="Arial"/>
      <w:sz w:val="20"/>
      <w:szCs w:val="20"/>
    </w:rPr>
  </w:style>
  <w:style w:type="paragraph" w:styleId="Footer">
    <w:name w:val="footer"/>
    <w:basedOn w:val="Normal"/>
    <w:link w:val="FooterChar"/>
    <w:uiPriority w:val="99"/>
    <w:unhideWhenUsed/>
    <w:rsid w:val="00443293"/>
    <w:pPr>
      <w:tabs>
        <w:tab w:val="center" w:pos="4680"/>
        <w:tab w:val="right" w:pos="9360"/>
      </w:tabs>
    </w:pPr>
  </w:style>
  <w:style w:type="character" w:customStyle="1" w:styleId="FooterChar">
    <w:name w:val="Footer Char"/>
    <w:basedOn w:val="DefaultParagraphFont"/>
    <w:link w:val="Footer"/>
    <w:uiPriority w:val="99"/>
    <w:rsid w:val="00443293"/>
    <w:rPr>
      <w:rFonts w:ascii="Arial" w:hAnsi="Arial" w:cs="Arial"/>
      <w:sz w:val="20"/>
      <w:szCs w:val="20"/>
    </w:rPr>
  </w:style>
  <w:style w:type="character" w:styleId="Hyperlink">
    <w:name w:val="Hyperlink"/>
    <w:basedOn w:val="DefaultParagraphFont"/>
    <w:uiPriority w:val="99"/>
    <w:unhideWhenUsed/>
    <w:rsid w:val="00756289"/>
    <w:rPr>
      <w:color w:val="0000FF"/>
      <w:u w:val="single"/>
    </w:rPr>
  </w:style>
  <w:style w:type="table" w:customStyle="1" w:styleId="LightShading-Accent11">
    <w:name w:val="Light Shading - Accent 11"/>
    <w:basedOn w:val="TableNormal"/>
    <w:uiPriority w:val="60"/>
    <w:rsid w:val="0028179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861282"/>
    <w:rPr>
      <w:rFonts w:ascii="Tahoma" w:hAnsi="Tahoma" w:cs="Tahoma"/>
      <w:sz w:val="16"/>
      <w:szCs w:val="16"/>
    </w:rPr>
  </w:style>
  <w:style w:type="character" w:styleId="CommentReference">
    <w:name w:val="annotation reference"/>
    <w:basedOn w:val="DefaultParagraphFont"/>
    <w:semiHidden/>
    <w:rsid w:val="001308E2"/>
    <w:rPr>
      <w:sz w:val="16"/>
      <w:szCs w:val="16"/>
    </w:rPr>
  </w:style>
  <w:style w:type="paragraph" w:styleId="CommentText">
    <w:name w:val="annotation text"/>
    <w:basedOn w:val="Normal"/>
    <w:semiHidden/>
    <w:rsid w:val="001308E2"/>
  </w:style>
  <w:style w:type="paragraph" w:styleId="CommentSubject">
    <w:name w:val="annotation subject"/>
    <w:basedOn w:val="CommentText"/>
    <w:next w:val="CommentText"/>
    <w:semiHidden/>
    <w:rsid w:val="001308E2"/>
    <w:rPr>
      <w:b/>
      <w:bCs/>
    </w:rPr>
  </w:style>
  <w:style w:type="paragraph" w:customStyle="1" w:styleId="StyleBodyText12pt">
    <w:name w:val="Style Body Text + 12 pt"/>
    <w:basedOn w:val="BodyText"/>
    <w:link w:val="StyleBodyText12ptChar"/>
    <w:rsid w:val="001308E2"/>
    <w:pPr>
      <w:autoSpaceDE/>
      <w:autoSpaceDN/>
      <w:adjustRightInd/>
      <w:spacing w:after="0"/>
    </w:pPr>
    <w:rPr>
      <w:rFonts w:ascii="Times New Roman" w:hAnsi="Times New Roman"/>
      <w:sz w:val="24"/>
      <w:szCs w:val="28"/>
    </w:rPr>
  </w:style>
  <w:style w:type="character" w:customStyle="1" w:styleId="StyleBodyText12ptChar">
    <w:name w:val="Style Body Text + 12 pt Char"/>
    <w:basedOn w:val="DefaultParagraphFont"/>
    <w:link w:val="StyleBodyText12pt"/>
    <w:rsid w:val="001308E2"/>
    <w:rPr>
      <w:rFonts w:cs="Arial"/>
      <w:sz w:val="24"/>
      <w:szCs w:val="28"/>
      <w:lang w:val="en-US" w:eastAsia="en-US" w:bidi="ar-SA"/>
    </w:rPr>
  </w:style>
  <w:style w:type="paragraph" w:styleId="BodyText">
    <w:name w:val="Body Text"/>
    <w:basedOn w:val="Normal"/>
    <w:rsid w:val="001308E2"/>
    <w:pPr>
      <w:spacing w:after="120"/>
    </w:pPr>
  </w:style>
  <w:style w:type="character" w:styleId="PageNumber">
    <w:name w:val="page number"/>
    <w:basedOn w:val="DefaultParagraphFont"/>
    <w:rsid w:val="008F2767"/>
  </w:style>
  <w:style w:type="character" w:customStyle="1" w:styleId="Heading1Char">
    <w:name w:val="Heading 1 Char"/>
    <w:basedOn w:val="DefaultParagraphFont"/>
    <w:link w:val="Heading1"/>
    <w:rsid w:val="00A74C27"/>
    <w:rPr>
      <w:rFonts w:ascii="Tahoma" w:hAnsi="Tahoma" w:cs="Tahoma"/>
      <w:shadow/>
      <w:color w:val="264D74"/>
      <w:sz w:val="40"/>
      <w:szCs w:val="40"/>
    </w:rPr>
  </w:style>
  <w:style w:type="character" w:styleId="Strong">
    <w:name w:val="Strong"/>
    <w:basedOn w:val="DefaultParagraphFont"/>
    <w:qFormat/>
    <w:rsid w:val="00F80F41"/>
    <w:rPr>
      <w:b/>
      <w:bCs/>
    </w:rPr>
  </w:style>
  <w:style w:type="paragraph" w:customStyle="1" w:styleId="Default">
    <w:name w:val="Default"/>
    <w:rsid w:val="00A37028"/>
    <w:pPr>
      <w:autoSpaceDE w:val="0"/>
      <w:autoSpaceDN w:val="0"/>
      <w:adjustRightInd w:val="0"/>
    </w:pPr>
    <w:rPr>
      <w:color w:val="000000"/>
      <w:sz w:val="24"/>
      <w:szCs w:val="24"/>
    </w:rPr>
  </w:style>
  <w:style w:type="paragraph" w:styleId="ListParagraph">
    <w:name w:val="List Paragraph"/>
    <w:basedOn w:val="Normal"/>
    <w:uiPriority w:val="34"/>
    <w:qFormat/>
    <w:rsid w:val="00A37028"/>
    <w:pPr>
      <w:ind w:left="720"/>
    </w:pPr>
  </w:style>
  <w:style w:type="table" w:customStyle="1" w:styleId="LightShading-Accent12">
    <w:name w:val="Light Shading - Accent 12"/>
    <w:basedOn w:val="TableNormal"/>
    <w:uiPriority w:val="60"/>
    <w:rsid w:val="003D7D2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Requirement">
    <w:name w:val="Requirement"/>
    <w:basedOn w:val="Normal"/>
    <w:autoRedefine/>
    <w:qFormat/>
    <w:rsid w:val="001B4B38"/>
    <w:pPr>
      <w:ind w:left="1350" w:hanging="630"/>
    </w:pPr>
    <w:rPr>
      <w:rFonts w:ascii="Times New Roman" w:hAnsi="Times New Roman" w:cs="Times New Roman"/>
      <w:bCs/>
      <w:sz w:val="24"/>
      <w:szCs w:val="24"/>
    </w:rPr>
  </w:style>
  <w:style w:type="paragraph" w:customStyle="1" w:styleId="subrequirement">
    <w:name w:val="subrequirement"/>
    <w:basedOn w:val="Requirement"/>
    <w:qFormat/>
    <w:rsid w:val="00A83A70"/>
  </w:style>
  <w:style w:type="paragraph" w:customStyle="1" w:styleId="L2subrequirement">
    <w:name w:val="L2 subrequirement"/>
    <w:basedOn w:val="Normal"/>
    <w:qFormat/>
    <w:rsid w:val="00A83A70"/>
    <w:pPr>
      <w:tabs>
        <w:tab w:val="left" w:pos="1350"/>
      </w:tabs>
      <w:spacing w:before="200" w:after="200"/>
      <w:ind w:left="1440"/>
    </w:pPr>
    <w:rPr>
      <w:rFonts w:ascii="Times New Roman" w:hAnsi="Times New Roman" w:cs="Times New Roman"/>
      <w:bCs/>
      <w:sz w:val="24"/>
      <w:szCs w:val="24"/>
    </w:rPr>
  </w:style>
  <w:style w:type="paragraph" w:customStyle="1" w:styleId="L1approach">
    <w:name w:val="L1 approach"/>
    <w:basedOn w:val="Normal"/>
    <w:qFormat/>
    <w:rsid w:val="00A83A70"/>
    <w:pPr>
      <w:widowControl w:val="0"/>
      <w:spacing w:before="240" w:after="240" w:line="284" w:lineRule="exact"/>
      <w:ind w:left="1152" w:hanging="576"/>
    </w:pPr>
    <w:rPr>
      <w:rFonts w:ascii="Times New Roman" w:hAnsi="Times New Roman" w:cs="Times New Roman"/>
      <w:bCs/>
      <w:color w:val="365F91"/>
      <w:sz w:val="24"/>
      <w:szCs w:val="24"/>
    </w:rPr>
  </w:style>
  <w:style w:type="paragraph" w:customStyle="1" w:styleId="L2approach">
    <w:name w:val="L2 approach"/>
    <w:basedOn w:val="Normal"/>
    <w:qFormat/>
    <w:rsid w:val="00A83A70"/>
    <w:pPr>
      <w:tabs>
        <w:tab w:val="left" w:pos="2016"/>
      </w:tabs>
      <w:spacing w:before="240" w:after="240"/>
      <w:ind w:left="2016" w:hanging="576"/>
    </w:pPr>
    <w:rPr>
      <w:rFonts w:ascii="Times New Roman" w:hAnsi="Times New Roman" w:cs="Times New Roman"/>
      <w:bCs/>
      <w:color w:val="365F91"/>
      <w:sz w:val="24"/>
      <w:szCs w:val="24"/>
    </w:rPr>
  </w:style>
  <w:style w:type="paragraph" w:customStyle="1" w:styleId="FERCparanumberCharChar">
    <w:name w:val="FERC paranumber Char Char"/>
    <w:basedOn w:val="Normal"/>
    <w:rsid w:val="00837127"/>
    <w:pPr>
      <w:widowControl w:val="0"/>
      <w:numPr>
        <w:numId w:val="5"/>
      </w:numPr>
    </w:pPr>
    <w:rPr>
      <w:rFonts w:ascii="Times New Roman" w:hAnsi="Times New Roman" w:cs="Times New Roman"/>
      <w:sz w:val="26"/>
      <w:szCs w:val="24"/>
    </w:rPr>
  </w:style>
  <w:style w:type="paragraph" w:customStyle="1" w:styleId="FERCparanumberChar">
    <w:name w:val="FERC paranumber Char"/>
    <w:basedOn w:val="Normal"/>
    <w:rsid w:val="00837127"/>
    <w:pPr>
      <w:widowControl w:val="0"/>
      <w:tabs>
        <w:tab w:val="num" w:pos="720"/>
      </w:tabs>
    </w:pPr>
    <w:rPr>
      <w:rFonts w:ascii="Times New Roman" w:hAnsi="Times New Roman" w:cs="Times New Roman"/>
      <w:sz w:val="26"/>
      <w:szCs w:val="24"/>
    </w:rPr>
  </w:style>
  <w:style w:type="character" w:styleId="FollowedHyperlink">
    <w:name w:val="FollowedHyperlink"/>
    <w:basedOn w:val="DefaultParagraphFont"/>
    <w:uiPriority w:val="99"/>
    <w:semiHidden/>
    <w:unhideWhenUsed/>
    <w:rsid w:val="00E901AA"/>
    <w:rPr>
      <w:color w:val="800080" w:themeColor="followedHyperlink"/>
      <w:u w:val="single"/>
    </w:rPr>
  </w:style>
  <w:style w:type="paragraph" w:styleId="FootnoteText">
    <w:name w:val="footnote text"/>
    <w:basedOn w:val="Normal"/>
    <w:link w:val="FootnoteTextChar"/>
    <w:unhideWhenUsed/>
    <w:rsid w:val="00F7585F"/>
    <w:rPr>
      <w:color w:val="000000"/>
      <w:sz w:val="24"/>
      <w:szCs w:val="24"/>
    </w:rPr>
  </w:style>
  <w:style w:type="character" w:customStyle="1" w:styleId="FootnoteTextChar">
    <w:name w:val="Footnote Text Char"/>
    <w:basedOn w:val="DefaultParagraphFont"/>
    <w:link w:val="FootnoteText"/>
    <w:rsid w:val="00F7585F"/>
    <w:rPr>
      <w:rFonts w:ascii="Arial" w:hAnsi="Arial" w:cs="Arial"/>
      <w:color w:val="000000"/>
      <w:sz w:val="24"/>
      <w:szCs w:val="24"/>
    </w:rPr>
  </w:style>
  <w:style w:type="character" w:styleId="FootnoteReference">
    <w:name w:val="footnote reference"/>
    <w:basedOn w:val="DefaultParagraphFont"/>
    <w:unhideWhenUsed/>
    <w:rsid w:val="00F7585F"/>
    <w:rPr>
      <w:vertAlign w:val="superscript"/>
    </w:rPr>
  </w:style>
  <w:style w:type="table" w:styleId="TableGrid">
    <w:name w:val="Table Grid"/>
    <w:basedOn w:val="TableNormal"/>
    <w:uiPriority w:val="59"/>
    <w:rsid w:val="00F7585F"/>
    <w:rPr>
      <w:rFonts w:asciiTheme="minorHAnsi" w:hAnsiTheme="minorHAnsi"/>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585F"/>
    <w:pPr>
      <w:autoSpaceDE w:val="0"/>
      <w:autoSpaceDN w:val="0"/>
      <w:adjustRightInd w:val="0"/>
    </w:pPr>
    <w:rPr>
      <w:rFonts w:ascii="Arial" w:hAnsi="Arial" w:cs="Arial"/>
    </w:rPr>
  </w:style>
  <w:style w:type="paragraph" w:customStyle="1" w:styleId="RqtSection">
    <w:name w:val="RqtSection"/>
    <w:basedOn w:val="Normal"/>
    <w:qFormat/>
    <w:rsid w:val="001E5787"/>
    <w:pPr>
      <w:widowControl w:val="0"/>
      <w:spacing w:line="266" w:lineRule="exact"/>
      <w:outlineLvl w:val="2"/>
    </w:pPr>
    <w:rPr>
      <w:rFonts w:asciiTheme="minorHAnsi" w:hAnsiTheme="minorHAnsi"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0019">
      <w:bodyDiv w:val="1"/>
      <w:marLeft w:val="0"/>
      <w:marRight w:val="0"/>
      <w:marTop w:val="0"/>
      <w:marBottom w:val="0"/>
      <w:divBdr>
        <w:top w:val="none" w:sz="0" w:space="0" w:color="auto"/>
        <w:left w:val="none" w:sz="0" w:space="0" w:color="auto"/>
        <w:bottom w:val="none" w:sz="0" w:space="0" w:color="auto"/>
        <w:right w:val="none" w:sz="0" w:space="0" w:color="auto"/>
      </w:divBdr>
    </w:div>
    <w:div w:id="92283619">
      <w:bodyDiv w:val="1"/>
      <w:marLeft w:val="0"/>
      <w:marRight w:val="0"/>
      <w:marTop w:val="0"/>
      <w:marBottom w:val="0"/>
      <w:divBdr>
        <w:top w:val="none" w:sz="0" w:space="0" w:color="auto"/>
        <w:left w:val="none" w:sz="0" w:space="0" w:color="auto"/>
        <w:bottom w:val="none" w:sz="0" w:space="0" w:color="auto"/>
        <w:right w:val="none" w:sz="0" w:space="0" w:color="auto"/>
      </w:divBdr>
    </w:div>
    <w:div w:id="100955571">
      <w:bodyDiv w:val="1"/>
      <w:marLeft w:val="0"/>
      <w:marRight w:val="0"/>
      <w:marTop w:val="0"/>
      <w:marBottom w:val="0"/>
      <w:divBdr>
        <w:top w:val="none" w:sz="0" w:space="0" w:color="auto"/>
        <w:left w:val="none" w:sz="0" w:space="0" w:color="auto"/>
        <w:bottom w:val="none" w:sz="0" w:space="0" w:color="auto"/>
        <w:right w:val="none" w:sz="0" w:space="0" w:color="auto"/>
      </w:divBdr>
    </w:div>
    <w:div w:id="105663538">
      <w:bodyDiv w:val="1"/>
      <w:marLeft w:val="0"/>
      <w:marRight w:val="0"/>
      <w:marTop w:val="0"/>
      <w:marBottom w:val="0"/>
      <w:divBdr>
        <w:top w:val="none" w:sz="0" w:space="0" w:color="auto"/>
        <w:left w:val="none" w:sz="0" w:space="0" w:color="auto"/>
        <w:bottom w:val="none" w:sz="0" w:space="0" w:color="auto"/>
        <w:right w:val="none" w:sz="0" w:space="0" w:color="auto"/>
      </w:divBdr>
    </w:div>
    <w:div w:id="132335680">
      <w:bodyDiv w:val="1"/>
      <w:marLeft w:val="0"/>
      <w:marRight w:val="0"/>
      <w:marTop w:val="0"/>
      <w:marBottom w:val="0"/>
      <w:divBdr>
        <w:top w:val="none" w:sz="0" w:space="0" w:color="auto"/>
        <w:left w:val="none" w:sz="0" w:space="0" w:color="auto"/>
        <w:bottom w:val="none" w:sz="0" w:space="0" w:color="auto"/>
        <w:right w:val="none" w:sz="0" w:space="0" w:color="auto"/>
      </w:divBdr>
    </w:div>
    <w:div w:id="197360811">
      <w:bodyDiv w:val="1"/>
      <w:marLeft w:val="0"/>
      <w:marRight w:val="0"/>
      <w:marTop w:val="0"/>
      <w:marBottom w:val="0"/>
      <w:divBdr>
        <w:top w:val="none" w:sz="0" w:space="0" w:color="auto"/>
        <w:left w:val="none" w:sz="0" w:space="0" w:color="auto"/>
        <w:bottom w:val="none" w:sz="0" w:space="0" w:color="auto"/>
        <w:right w:val="none" w:sz="0" w:space="0" w:color="auto"/>
      </w:divBdr>
    </w:div>
    <w:div w:id="200827661">
      <w:bodyDiv w:val="1"/>
      <w:marLeft w:val="0"/>
      <w:marRight w:val="0"/>
      <w:marTop w:val="0"/>
      <w:marBottom w:val="0"/>
      <w:divBdr>
        <w:top w:val="none" w:sz="0" w:space="0" w:color="auto"/>
        <w:left w:val="none" w:sz="0" w:space="0" w:color="auto"/>
        <w:bottom w:val="none" w:sz="0" w:space="0" w:color="auto"/>
        <w:right w:val="none" w:sz="0" w:space="0" w:color="auto"/>
      </w:divBdr>
    </w:div>
    <w:div w:id="237520304">
      <w:bodyDiv w:val="1"/>
      <w:marLeft w:val="0"/>
      <w:marRight w:val="0"/>
      <w:marTop w:val="0"/>
      <w:marBottom w:val="0"/>
      <w:divBdr>
        <w:top w:val="none" w:sz="0" w:space="0" w:color="auto"/>
        <w:left w:val="none" w:sz="0" w:space="0" w:color="auto"/>
        <w:bottom w:val="none" w:sz="0" w:space="0" w:color="auto"/>
        <w:right w:val="none" w:sz="0" w:space="0" w:color="auto"/>
      </w:divBdr>
    </w:div>
    <w:div w:id="243533179">
      <w:bodyDiv w:val="1"/>
      <w:marLeft w:val="0"/>
      <w:marRight w:val="0"/>
      <w:marTop w:val="0"/>
      <w:marBottom w:val="0"/>
      <w:divBdr>
        <w:top w:val="none" w:sz="0" w:space="0" w:color="auto"/>
        <w:left w:val="none" w:sz="0" w:space="0" w:color="auto"/>
        <w:bottom w:val="none" w:sz="0" w:space="0" w:color="auto"/>
        <w:right w:val="none" w:sz="0" w:space="0" w:color="auto"/>
      </w:divBdr>
    </w:div>
    <w:div w:id="246692093">
      <w:bodyDiv w:val="1"/>
      <w:marLeft w:val="0"/>
      <w:marRight w:val="0"/>
      <w:marTop w:val="0"/>
      <w:marBottom w:val="0"/>
      <w:divBdr>
        <w:top w:val="none" w:sz="0" w:space="0" w:color="auto"/>
        <w:left w:val="none" w:sz="0" w:space="0" w:color="auto"/>
        <w:bottom w:val="none" w:sz="0" w:space="0" w:color="auto"/>
        <w:right w:val="none" w:sz="0" w:space="0" w:color="auto"/>
      </w:divBdr>
    </w:div>
    <w:div w:id="273024901">
      <w:bodyDiv w:val="1"/>
      <w:marLeft w:val="0"/>
      <w:marRight w:val="0"/>
      <w:marTop w:val="0"/>
      <w:marBottom w:val="0"/>
      <w:divBdr>
        <w:top w:val="none" w:sz="0" w:space="0" w:color="auto"/>
        <w:left w:val="none" w:sz="0" w:space="0" w:color="auto"/>
        <w:bottom w:val="none" w:sz="0" w:space="0" w:color="auto"/>
        <w:right w:val="none" w:sz="0" w:space="0" w:color="auto"/>
      </w:divBdr>
    </w:div>
    <w:div w:id="291135200">
      <w:bodyDiv w:val="1"/>
      <w:marLeft w:val="0"/>
      <w:marRight w:val="0"/>
      <w:marTop w:val="0"/>
      <w:marBottom w:val="0"/>
      <w:divBdr>
        <w:top w:val="none" w:sz="0" w:space="0" w:color="auto"/>
        <w:left w:val="none" w:sz="0" w:space="0" w:color="auto"/>
        <w:bottom w:val="none" w:sz="0" w:space="0" w:color="auto"/>
        <w:right w:val="none" w:sz="0" w:space="0" w:color="auto"/>
      </w:divBdr>
    </w:div>
    <w:div w:id="315424820">
      <w:bodyDiv w:val="1"/>
      <w:marLeft w:val="0"/>
      <w:marRight w:val="0"/>
      <w:marTop w:val="0"/>
      <w:marBottom w:val="0"/>
      <w:divBdr>
        <w:top w:val="none" w:sz="0" w:space="0" w:color="auto"/>
        <w:left w:val="none" w:sz="0" w:space="0" w:color="auto"/>
        <w:bottom w:val="none" w:sz="0" w:space="0" w:color="auto"/>
        <w:right w:val="none" w:sz="0" w:space="0" w:color="auto"/>
      </w:divBdr>
    </w:div>
    <w:div w:id="342783773">
      <w:bodyDiv w:val="1"/>
      <w:marLeft w:val="0"/>
      <w:marRight w:val="0"/>
      <w:marTop w:val="0"/>
      <w:marBottom w:val="0"/>
      <w:divBdr>
        <w:top w:val="none" w:sz="0" w:space="0" w:color="auto"/>
        <w:left w:val="none" w:sz="0" w:space="0" w:color="auto"/>
        <w:bottom w:val="none" w:sz="0" w:space="0" w:color="auto"/>
        <w:right w:val="none" w:sz="0" w:space="0" w:color="auto"/>
      </w:divBdr>
    </w:div>
    <w:div w:id="347635195">
      <w:bodyDiv w:val="1"/>
      <w:marLeft w:val="0"/>
      <w:marRight w:val="0"/>
      <w:marTop w:val="0"/>
      <w:marBottom w:val="0"/>
      <w:divBdr>
        <w:top w:val="none" w:sz="0" w:space="0" w:color="auto"/>
        <w:left w:val="none" w:sz="0" w:space="0" w:color="auto"/>
        <w:bottom w:val="none" w:sz="0" w:space="0" w:color="auto"/>
        <w:right w:val="none" w:sz="0" w:space="0" w:color="auto"/>
      </w:divBdr>
    </w:div>
    <w:div w:id="375278883">
      <w:bodyDiv w:val="1"/>
      <w:marLeft w:val="0"/>
      <w:marRight w:val="0"/>
      <w:marTop w:val="0"/>
      <w:marBottom w:val="0"/>
      <w:divBdr>
        <w:top w:val="none" w:sz="0" w:space="0" w:color="auto"/>
        <w:left w:val="none" w:sz="0" w:space="0" w:color="auto"/>
        <w:bottom w:val="none" w:sz="0" w:space="0" w:color="auto"/>
        <w:right w:val="none" w:sz="0" w:space="0" w:color="auto"/>
      </w:divBdr>
    </w:div>
    <w:div w:id="433206067">
      <w:bodyDiv w:val="1"/>
      <w:marLeft w:val="0"/>
      <w:marRight w:val="0"/>
      <w:marTop w:val="0"/>
      <w:marBottom w:val="0"/>
      <w:divBdr>
        <w:top w:val="none" w:sz="0" w:space="0" w:color="auto"/>
        <w:left w:val="none" w:sz="0" w:space="0" w:color="auto"/>
        <w:bottom w:val="none" w:sz="0" w:space="0" w:color="auto"/>
        <w:right w:val="none" w:sz="0" w:space="0" w:color="auto"/>
      </w:divBdr>
    </w:div>
    <w:div w:id="442572764">
      <w:bodyDiv w:val="1"/>
      <w:marLeft w:val="0"/>
      <w:marRight w:val="0"/>
      <w:marTop w:val="0"/>
      <w:marBottom w:val="0"/>
      <w:divBdr>
        <w:top w:val="none" w:sz="0" w:space="0" w:color="auto"/>
        <w:left w:val="none" w:sz="0" w:space="0" w:color="auto"/>
        <w:bottom w:val="none" w:sz="0" w:space="0" w:color="auto"/>
        <w:right w:val="none" w:sz="0" w:space="0" w:color="auto"/>
      </w:divBdr>
    </w:div>
    <w:div w:id="464197967">
      <w:bodyDiv w:val="1"/>
      <w:marLeft w:val="0"/>
      <w:marRight w:val="0"/>
      <w:marTop w:val="0"/>
      <w:marBottom w:val="0"/>
      <w:divBdr>
        <w:top w:val="none" w:sz="0" w:space="0" w:color="auto"/>
        <w:left w:val="none" w:sz="0" w:space="0" w:color="auto"/>
        <w:bottom w:val="none" w:sz="0" w:space="0" w:color="auto"/>
        <w:right w:val="none" w:sz="0" w:space="0" w:color="auto"/>
      </w:divBdr>
    </w:div>
    <w:div w:id="512259611">
      <w:bodyDiv w:val="1"/>
      <w:marLeft w:val="0"/>
      <w:marRight w:val="0"/>
      <w:marTop w:val="0"/>
      <w:marBottom w:val="0"/>
      <w:divBdr>
        <w:top w:val="none" w:sz="0" w:space="0" w:color="auto"/>
        <w:left w:val="none" w:sz="0" w:space="0" w:color="auto"/>
        <w:bottom w:val="none" w:sz="0" w:space="0" w:color="auto"/>
        <w:right w:val="none" w:sz="0" w:space="0" w:color="auto"/>
      </w:divBdr>
    </w:div>
    <w:div w:id="514150107">
      <w:bodyDiv w:val="1"/>
      <w:marLeft w:val="0"/>
      <w:marRight w:val="0"/>
      <w:marTop w:val="0"/>
      <w:marBottom w:val="0"/>
      <w:divBdr>
        <w:top w:val="none" w:sz="0" w:space="0" w:color="auto"/>
        <w:left w:val="none" w:sz="0" w:space="0" w:color="auto"/>
        <w:bottom w:val="none" w:sz="0" w:space="0" w:color="auto"/>
        <w:right w:val="none" w:sz="0" w:space="0" w:color="auto"/>
      </w:divBdr>
    </w:div>
    <w:div w:id="519512037">
      <w:bodyDiv w:val="1"/>
      <w:marLeft w:val="0"/>
      <w:marRight w:val="0"/>
      <w:marTop w:val="0"/>
      <w:marBottom w:val="0"/>
      <w:divBdr>
        <w:top w:val="none" w:sz="0" w:space="0" w:color="auto"/>
        <w:left w:val="none" w:sz="0" w:space="0" w:color="auto"/>
        <w:bottom w:val="none" w:sz="0" w:space="0" w:color="auto"/>
        <w:right w:val="none" w:sz="0" w:space="0" w:color="auto"/>
      </w:divBdr>
    </w:div>
    <w:div w:id="526912781">
      <w:bodyDiv w:val="1"/>
      <w:marLeft w:val="0"/>
      <w:marRight w:val="0"/>
      <w:marTop w:val="0"/>
      <w:marBottom w:val="0"/>
      <w:divBdr>
        <w:top w:val="none" w:sz="0" w:space="0" w:color="auto"/>
        <w:left w:val="none" w:sz="0" w:space="0" w:color="auto"/>
        <w:bottom w:val="none" w:sz="0" w:space="0" w:color="auto"/>
        <w:right w:val="none" w:sz="0" w:space="0" w:color="auto"/>
      </w:divBdr>
    </w:div>
    <w:div w:id="652417409">
      <w:bodyDiv w:val="1"/>
      <w:marLeft w:val="0"/>
      <w:marRight w:val="0"/>
      <w:marTop w:val="0"/>
      <w:marBottom w:val="0"/>
      <w:divBdr>
        <w:top w:val="none" w:sz="0" w:space="0" w:color="auto"/>
        <w:left w:val="none" w:sz="0" w:space="0" w:color="auto"/>
        <w:bottom w:val="none" w:sz="0" w:space="0" w:color="auto"/>
        <w:right w:val="none" w:sz="0" w:space="0" w:color="auto"/>
      </w:divBdr>
    </w:div>
    <w:div w:id="695934169">
      <w:bodyDiv w:val="1"/>
      <w:marLeft w:val="0"/>
      <w:marRight w:val="0"/>
      <w:marTop w:val="0"/>
      <w:marBottom w:val="0"/>
      <w:divBdr>
        <w:top w:val="none" w:sz="0" w:space="0" w:color="auto"/>
        <w:left w:val="none" w:sz="0" w:space="0" w:color="auto"/>
        <w:bottom w:val="none" w:sz="0" w:space="0" w:color="auto"/>
        <w:right w:val="none" w:sz="0" w:space="0" w:color="auto"/>
      </w:divBdr>
    </w:div>
    <w:div w:id="726688290">
      <w:bodyDiv w:val="1"/>
      <w:marLeft w:val="0"/>
      <w:marRight w:val="0"/>
      <w:marTop w:val="0"/>
      <w:marBottom w:val="0"/>
      <w:divBdr>
        <w:top w:val="none" w:sz="0" w:space="0" w:color="auto"/>
        <w:left w:val="none" w:sz="0" w:space="0" w:color="auto"/>
        <w:bottom w:val="none" w:sz="0" w:space="0" w:color="auto"/>
        <w:right w:val="none" w:sz="0" w:space="0" w:color="auto"/>
      </w:divBdr>
    </w:div>
    <w:div w:id="739134651">
      <w:bodyDiv w:val="1"/>
      <w:marLeft w:val="0"/>
      <w:marRight w:val="0"/>
      <w:marTop w:val="0"/>
      <w:marBottom w:val="0"/>
      <w:divBdr>
        <w:top w:val="none" w:sz="0" w:space="0" w:color="auto"/>
        <w:left w:val="none" w:sz="0" w:space="0" w:color="auto"/>
        <w:bottom w:val="none" w:sz="0" w:space="0" w:color="auto"/>
        <w:right w:val="none" w:sz="0" w:space="0" w:color="auto"/>
      </w:divBdr>
    </w:div>
    <w:div w:id="779955589">
      <w:bodyDiv w:val="1"/>
      <w:marLeft w:val="0"/>
      <w:marRight w:val="0"/>
      <w:marTop w:val="0"/>
      <w:marBottom w:val="0"/>
      <w:divBdr>
        <w:top w:val="none" w:sz="0" w:space="0" w:color="auto"/>
        <w:left w:val="none" w:sz="0" w:space="0" w:color="auto"/>
        <w:bottom w:val="none" w:sz="0" w:space="0" w:color="auto"/>
        <w:right w:val="none" w:sz="0" w:space="0" w:color="auto"/>
      </w:divBdr>
    </w:div>
    <w:div w:id="807094933">
      <w:bodyDiv w:val="1"/>
      <w:marLeft w:val="0"/>
      <w:marRight w:val="0"/>
      <w:marTop w:val="0"/>
      <w:marBottom w:val="0"/>
      <w:divBdr>
        <w:top w:val="none" w:sz="0" w:space="0" w:color="auto"/>
        <w:left w:val="none" w:sz="0" w:space="0" w:color="auto"/>
        <w:bottom w:val="none" w:sz="0" w:space="0" w:color="auto"/>
        <w:right w:val="none" w:sz="0" w:space="0" w:color="auto"/>
      </w:divBdr>
    </w:div>
    <w:div w:id="845558919">
      <w:bodyDiv w:val="1"/>
      <w:marLeft w:val="0"/>
      <w:marRight w:val="0"/>
      <w:marTop w:val="0"/>
      <w:marBottom w:val="0"/>
      <w:divBdr>
        <w:top w:val="none" w:sz="0" w:space="0" w:color="auto"/>
        <w:left w:val="none" w:sz="0" w:space="0" w:color="auto"/>
        <w:bottom w:val="none" w:sz="0" w:space="0" w:color="auto"/>
        <w:right w:val="none" w:sz="0" w:space="0" w:color="auto"/>
      </w:divBdr>
    </w:div>
    <w:div w:id="862668944">
      <w:bodyDiv w:val="1"/>
      <w:marLeft w:val="0"/>
      <w:marRight w:val="0"/>
      <w:marTop w:val="0"/>
      <w:marBottom w:val="0"/>
      <w:divBdr>
        <w:top w:val="none" w:sz="0" w:space="0" w:color="auto"/>
        <w:left w:val="none" w:sz="0" w:space="0" w:color="auto"/>
        <w:bottom w:val="none" w:sz="0" w:space="0" w:color="auto"/>
        <w:right w:val="none" w:sz="0" w:space="0" w:color="auto"/>
      </w:divBdr>
    </w:div>
    <w:div w:id="876937491">
      <w:bodyDiv w:val="1"/>
      <w:marLeft w:val="0"/>
      <w:marRight w:val="0"/>
      <w:marTop w:val="0"/>
      <w:marBottom w:val="0"/>
      <w:divBdr>
        <w:top w:val="none" w:sz="0" w:space="0" w:color="auto"/>
        <w:left w:val="none" w:sz="0" w:space="0" w:color="auto"/>
        <w:bottom w:val="none" w:sz="0" w:space="0" w:color="auto"/>
        <w:right w:val="none" w:sz="0" w:space="0" w:color="auto"/>
      </w:divBdr>
    </w:div>
    <w:div w:id="907035714">
      <w:bodyDiv w:val="1"/>
      <w:marLeft w:val="0"/>
      <w:marRight w:val="0"/>
      <w:marTop w:val="0"/>
      <w:marBottom w:val="0"/>
      <w:divBdr>
        <w:top w:val="none" w:sz="0" w:space="0" w:color="auto"/>
        <w:left w:val="none" w:sz="0" w:space="0" w:color="auto"/>
        <w:bottom w:val="none" w:sz="0" w:space="0" w:color="auto"/>
        <w:right w:val="none" w:sz="0" w:space="0" w:color="auto"/>
      </w:divBdr>
    </w:div>
    <w:div w:id="943340604">
      <w:bodyDiv w:val="1"/>
      <w:marLeft w:val="0"/>
      <w:marRight w:val="0"/>
      <w:marTop w:val="0"/>
      <w:marBottom w:val="0"/>
      <w:divBdr>
        <w:top w:val="none" w:sz="0" w:space="0" w:color="auto"/>
        <w:left w:val="none" w:sz="0" w:space="0" w:color="auto"/>
        <w:bottom w:val="none" w:sz="0" w:space="0" w:color="auto"/>
        <w:right w:val="none" w:sz="0" w:space="0" w:color="auto"/>
      </w:divBdr>
    </w:div>
    <w:div w:id="985085078">
      <w:bodyDiv w:val="1"/>
      <w:marLeft w:val="0"/>
      <w:marRight w:val="0"/>
      <w:marTop w:val="0"/>
      <w:marBottom w:val="0"/>
      <w:divBdr>
        <w:top w:val="none" w:sz="0" w:space="0" w:color="auto"/>
        <w:left w:val="none" w:sz="0" w:space="0" w:color="auto"/>
        <w:bottom w:val="none" w:sz="0" w:space="0" w:color="auto"/>
        <w:right w:val="none" w:sz="0" w:space="0" w:color="auto"/>
      </w:divBdr>
    </w:div>
    <w:div w:id="1014304996">
      <w:bodyDiv w:val="1"/>
      <w:marLeft w:val="0"/>
      <w:marRight w:val="0"/>
      <w:marTop w:val="0"/>
      <w:marBottom w:val="0"/>
      <w:divBdr>
        <w:top w:val="none" w:sz="0" w:space="0" w:color="auto"/>
        <w:left w:val="none" w:sz="0" w:space="0" w:color="auto"/>
        <w:bottom w:val="none" w:sz="0" w:space="0" w:color="auto"/>
        <w:right w:val="none" w:sz="0" w:space="0" w:color="auto"/>
      </w:divBdr>
    </w:div>
    <w:div w:id="1018313740">
      <w:bodyDiv w:val="1"/>
      <w:marLeft w:val="0"/>
      <w:marRight w:val="0"/>
      <w:marTop w:val="0"/>
      <w:marBottom w:val="0"/>
      <w:divBdr>
        <w:top w:val="none" w:sz="0" w:space="0" w:color="auto"/>
        <w:left w:val="none" w:sz="0" w:space="0" w:color="auto"/>
        <w:bottom w:val="none" w:sz="0" w:space="0" w:color="auto"/>
        <w:right w:val="none" w:sz="0" w:space="0" w:color="auto"/>
      </w:divBdr>
    </w:div>
    <w:div w:id="1156383806">
      <w:bodyDiv w:val="1"/>
      <w:marLeft w:val="0"/>
      <w:marRight w:val="0"/>
      <w:marTop w:val="0"/>
      <w:marBottom w:val="0"/>
      <w:divBdr>
        <w:top w:val="none" w:sz="0" w:space="0" w:color="auto"/>
        <w:left w:val="none" w:sz="0" w:space="0" w:color="auto"/>
        <w:bottom w:val="none" w:sz="0" w:space="0" w:color="auto"/>
        <w:right w:val="none" w:sz="0" w:space="0" w:color="auto"/>
      </w:divBdr>
    </w:div>
    <w:div w:id="1192064259">
      <w:bodyDiv w:val="1"/>
      <w:marLeft w:val="0"/>
      <w:marRight w:val="0"/>
      <w:marTop w:val="0"/>
      <w:marBottom w:val="0"/>
      <w:divBdr>
        <w:top w:val="none" w:sz="0" w:space="0" w:color="auto"/>
        <w:left w:val="none" w:sz="0" w:space="0" w:color="auto"/>
        <w:bottom w:val="none" w:sz="0" w:space="0" w:color="auto"/>
        <w:right w:val="none" w:sz="0" w:space="0" w:color="auto"/>
      </w:divBdr>
    </w:div>
    <w:div w:id="1265453346">
      <w:bodyDiv w:val="1"/>
      <w:marLeft w:val="0"/>
      <w:marRight w:val="0"/>
      <w:marTop w:val="0"/>
      <w:marBottom w:val="0"/>
      <w:divBdr>
        <w:top w:val="none" w:sz="0" w:space="0" w:color="auto"/>
        <w:left w:val="none" w:sz="0" w:space="0" w:color="auto"/>
        <w:bottom w:val="none" w:sz="0" w:space="0" w:color="auto"/>
        <w:right w:val="none" w:sz="0" w:space="0" w:color="auto"/>
      </w:divBdr>
    </w:div>
    <w:div w:id="1315985655">
      <w:bodyDiv w:val="1"/>
      <w:marLeft w:val="0"/>
      <w:marRight w:val="0"/>
      <w:marTop w:val="0"/>
      <w:marBottom w:val="0"/>
      <w:divBdr>
        <w:top w:val="none" w:sz="0" w:space="0" w:color="auto"/>
        <w:left w:val="none" w:sz="0" w:space="0" w:color="auto"/>
        <w:bottom w:val="none" w:sz="0" w:space="0" w:color="auto"/>
        <w:right w:val="none" w:sz="0" w:space="0" w:color="auto"/>
      </w:divBdr>
    </w:div>
    <w:div w:id="1347243726">
      <w:bodyDiv w:val="1"/>
      <w:marLeft w:val="0"/>
      <w:marRight w:val="0"/>
      <w:marTop w:val="0"/>
      <w:marBottom w:val="0"/>
      <w:divBdr>
        <w:top w:val="none" w:sz="0" w:space="0" w:color="auto"/>
        <w:left w:val="none" w:sz="0" w:space="0" w:color="auto"/>
        <w:bottom w:val="none" w:sz="0" w:space="0" w:color="auto"/>
        <w:right w:val="none" w:sz="0" w:space="0" w:color="auto"/>
      </w:divBdr>
    </w:div>
    <w:div w:id="1377776620">
      <w:bodyDiv w:val="1"/>
      <w:marLeft w:val="0"/>
      <w:marRight w:val="0"/>
      <w:marTop w:val="0"/>
      <w:marBottom w:val="0"/>
      <w:divBdr>
        <w:top w:val="none" w:sz="0" w:space="0" w:color="auto"/>
        <w:left w:val="none" w:sz="0" w:space="0" w:color="auto"/>
        <w:bottom w:val="none" w:sz="0" w:space="0" w:color="auto"/>
        <w:right w:val="none" w:sz="0" w:space="0" w:color="auto"/>
      </w:divBdr>
    </w:div>
    <w:div w:id="1383363143">
      <w:bodyDiv w:val="1"/>
      <w:marLeft w:val="0"/>
      <w:marRight w:val="0"/>
      <w:marTop w:val="0"/>
      <w:marBottom w:val="0"/>
      <w:divBdr>
        <w:top w:val="none" w:sz="0" w:space="0" w:color="auto"/>
        <w:left w:val="none" w:sz="0" w:space="0" w:color="auto"/>
        <w:bottom w:val="none" w:sz="0" w:space="0" w:color="auto"/>
        <w:right w:val="none" w:sz="0" w:space="0" w:color="auto"/>
      </w:divBdr>
    </w:div>
    <w:div w:id="1387681008">
      <w:bodyDiv w:val="1"/>
      <w:marLeft w:val="0"/>
      <w:marRight w:val="0"/>
      <w:marTop w:val="0"/>
      <w:marBottom w:val="0"/>
      <w:divBdr>
        <w:top w:val="none" w:sz="0" w:space="0" w:color="auto"/>
        <w:left w:val="none" w:sz="0" w:space="0" w:color="auto"/>
        <w:bottom w:val="none" w:sz="0" w:space="0" w:color="auto"/>
        <w:right w:val="none" w:sz="0" w:space="0" w:color="auto"/>
      </w:divBdr>
    </w:div>
    <w:div w:id="1420983643">
      <w:bodyDiv w:val="1"/>
      <w:marLeft w:val="0"/>
      <w:marRight w:val="0"/>
      <w:marTop w:val="0"/>
      <w:marBottom w:val="0"/>
      <w:divBdr>
        <w:top w:val="none" w:sz="0" w:space="0" w:color="auto"/>
        <w:left w:val="none" w:sz="0" w:space="0" w:color="auto"/>
        <w:bottom w:val="none" w:sz="0" w:space="0" w:color="auto"/>
        <w:right w:val="none" w:sz="0" w:space="0" w:color="auto"/>
      </w:divBdr>
    </w:div>
    <w:div w:id="1489055917">
      <w:bodyDiv w:val="1"/>
      <w:marLeft w:val="0"/>
      <w:marRight w:val="0"/>
      <w:marTop w:val="0"/>
      <w:marBottom w:val="0"/>
      <w:divBdr>
        <w:top w:val="none" w:sz="0" w:space="0" w:color="auto"/>
        <w:left w:val="none" w:sz="0" w:space="0" w:color="auto"/>
        <w:bottom w:val="none" w:sz="0" w:space="0" w:color="auto"/>
        <w:right w:val="none" w:sz="0" w:space="0" w:color="auto"/>
      </w:divBdr>
    </w:div>
    <w:div w:id="1526138374">
      <w:bodyDiv w:val="1"/>
      <w:marLeft w:val="0"/>
      <w:marRight w:val="0"/>
      <w:marTop w:val="0"/>
      <w:marBottom w:val="0"/>
      <w:divBdr>
        <w:top w:val="none" w:sz="0" w:space="0" w:color="auto"/>
        <w:left w:val="none" w:sz="0" w:space="0" w:color="auto"/>
        <w:bottom w:val="none" w:sz="0" w:space="0" w:color="auto"/>
        <w:right w:val="none" w:sz="0" w:space="0" w:color="auto"/>
      </w:divBdr>
    </w:div>
    <w:div w:id="1529755285">
      <w:bodyDiv w:val="1"/>
      <w:marLeft w:val="0"/>
      <w:marRight w:val="0"/>
      <w:marTop w:val="0"/>
      <w:marBottom w:val="0"/>
      <w:divBdr>
        <w:top w:val="none" w:sz="0" w:space="0" w:color="auto"/>
        <w:left w:val="none" w:sz="0" w:space="0" w:color="auto"/>
        <w:bottom w:val="none" w:sz="0" w:space="0" w:color="auto"/>
        <w:right w:val="none" w:sz="0" w:space="0" w:color="auto"/>
      </w:divBdr>
    </w:div>
    <w:div w:id="1663699142">
      <w:bodyDiv w:val="1"/>
      <w:marLeft w:val="0"/>
      <w:marRight w:val="0"/>
      <w:marTop w:val="0"/>
      <w:marBottom w:val="0"/>
      <w:divBdr>
        <w:top w:val="none" w:sz="0" w:space="0" w:color="auto"/>
        <w:left w:val="none" w:sz="0" w:space="0" w:color="auto"/>
        <w:bottom w:val="none" w:sz="0" w:space="0" w:color="auto"/>
        <w:right w:val="none" w:sz="0" w:space="0" w:color="auto"/>
      </w:divBdr>
    </w:div>
    <w:div w:id="1679304676">
      <w:bodyDiv w:val="1"/>
      <w:marLeft w:val="0"/>
      <w:marRight w:val="0"/>
      <w:marTop w:val="0"/>
      <w:marBottom w:val="0"/>
      <w:divBdr>
        <w:top w:val="none" w:sz="0" w:space="0" w:color="auto"/>
        <w:left w:val="none" w:sz="0" w:space="0" w:color="auto"/>
        <w:bottom w:val="none" w:sz="0" w:space="0" w:color="auto"/>
        <w:right w:val="none" w:sz="0" w:space="0" w:color="auto"/>
      </w:divBdr>
    </w:div>
    <w:div w:id="1775439889">
      <w:bodyDiv w:val="1"/>
      <w:marLeft w:val="0"/>
      <w:marRight w:val="0"/>
      <w:marTop w:val="0"/>
      <w:marBottom w:val="0"/>
      <w:divBdr>
        <w:top w:val="none" w:sz="0" w:space="0" w:color="auto"/>
        <w:left w:val="none" w:sz="0" w:space="0" w:color="auto"/>
        <w:bottom w:val="none" w:sz="0" w:space="0" w:color="auto"/>
        <w:right w:val="none" w:sz="0" w:space="0" w:color="auto"/>
      </w:divBdr>
    </w:div>
    <w:div w:id="1842811231">
      <w:bodyDiv w:val="1"/>
      <w:marLeft w:val="0"/>
      <w:marRight w:val="0"/>
      <w:marTop w:val="0"/>
      <w:marBottom w:val="0"/>
      <w:divBdr>
        <w:top w:val="none" w:sz="0" w:space="0" w:color="auto"/>
        <w:left w:val="none" w:sz="0" w:space="0" w:color="auto"/>
        <w:bottom w:val="none" w:sz="0" w:space="0" w:color="auto"/>
        <w:right w:val="none" w:sz="0" w:space="0" w:color="auto"/>
      </w:divBdr>
    </w:div>
    <w:div w:id="1867983694">
      <w:bodyDiv w:val="1"/>
      <w:marLeft w:val="0"/>
      <w:marRight w:val="0"/>
      <w:marTop w:val="0"/>
      <w:marBottom w:val="0"/>
      <w:divBdr>
        <w:top w:val="none" w:sz="0" w:space="0" w:color="auto"/>
        <w:left w:val="none" w:sz="0" w:space="0" w:color="auto"/>
        <w:bottom w:val="none" w:sz="0" w:space="0" w:color="auto"/>
        <w:right w:val="none" w:sz="0" w:space="0" w:color="auto"/>
      </w:divBdr>
    </w:div>
    <w:div w:id="1884823890">
      <w:bodyDiv w:val="1"/>
      <w:marLeft w:val="0"/>
      <w:marRight w:val="0"/>
      <w:marTop w:val="0"/>
      <w:marBottom w:val="0"/>
      <w:divBdr>
        <w:top w:val="none" w:sz="0" w:space="0" w:color="auto"/>
        <w:left w:val="none" w:sz="0" w:space="0" w:color="auto"/>
        <w:bottom w:val="none" w:sz="0" w:space="0" w:color="auto"/>
        <w:right w:val="none" w:sz="0" w:space="0" w:color="auto"/>
      </w:divBdr>
    </w:div>
    <w:div w:id="1896237991">
      <w:bodyDiv w:val="1"/>
      <w:marLeft w:val="0"/>
      <w:marRight w:val="0"/>
      <w:marTop w:val="0"/>
      <w:marBottom w:val="0"/>
      <w:divBdr>
        <w:top w:val="none" w:sz="0" w:space="0" w:color="auto"/>
        <w:left w:val="none" w:sz="0" w:space="0" w:color="auto"/>
        <w:bottom w:val="none" w:sz="0" w:space="0" w:color="auto"/>
        <w:right w:val="none" w:sz="0" w:space="0" w:color="auto"/>
      </w:divBdr>
    </w:div>
    <w:div w:id="1923445320">
      <w:bodyDiv w:val="1"/>
      <w:marLeft w:val="0"/>
      <w:marRight w:val="0"/>
      <w:marTop w:val="0"/>
      <w:marBottom w:val="0"/>
      <w:divBdr>
        <w:top w:val="none" w:sz="0" w:space="0" w:color="auto"/>
        <w:left w:val="none" w:sz="0" w:space="0" w:color="auto"/>
        <w:bottom w:val="none" w:sz="0" w:space="0" w:color="auto"/>
        <w:right w:val="none" w:sz="0" w:space="0" w:color="auto"/>
      </w:divBdr>
    </w:div>
    <w:div w:id="2030328057">
      <w:bodyDiv w:val="1"/>
      <w:marLeft w:val="0"/>
      <w:marRight w:val="0"/>
      <w:marTop w:val="0"/>
      <w:marBottom w:val="0"/>
      <w:divBdr>
        <w:top w:val="none" w:sz="0" w:space="0" w:color="auto"/>
        <w:left w:val="none" w:sz="0" w:space="0" w:color="auto"/>
        <w:bottom w:val="none" w:sz="0" w:space="0" w:color="auto"/>
        <w:right w:val="none" w:sz="0" w:space="0" w:color="auto"/>
      </w:divBdr>
    </w:div>
    <w:div w:id="2031564474">
      <w:bodyDiv w:val="1"/>
      <w:marLeft w:val="0"/>
      <w:marRight w:val="0"/>
      <w:marTop w:val="0"/>
      <w:marBottom w:val="0"/>
      <w:divBdr>
        <w:top w:val="none" w:sz="0" w:space="0" w:color="auto"/>
        <w:left w:val="none" w:sz="0" w:space="0" w:color="auto"/>
        <w:bottom w:val="none" w:sz="0" w:space="0" w:color="auto"/>
        <w:right w:val="none" w:sz="0" w:space="0" w:color="auto"/>
      </w:divBdr>
    </w:div>
    <w:div w:id="2034727676">
      <w:bodyDiv w:val="1"/>
      <w:marLeft w:val="0"/>
      <w:marRight w:val="0"/>
      <w:marTop w:val="0"/>
      <w:marBottom w:val="0"/>
      <w:divBdr>
        <w:top w:val="none" w:sz="0" w:space="0" w:color="auto"/>
        <w:left w:val="none" w:sz="0" w:space="0" w:color="auto"/>
        <w:bottom w:val="none" w:sz="0" w:space="0" w:color="auto"/>
        <w:right w:val="none" w:sz="0" w:space="0" w:color="auto"/>
      </w:divBdr>
    </w:div>
    <w:div w:id="2039577457">
      <w:bodyDiv w:val="1"/>
      <w:marLeft w:val="0"/>
      <w:marRight w:val="0"/>
      <w:marTop w:val="0"/>
      <w:marBottom w:val="0"/>
      <w:divBdr>
        <w:top w:val="none" w:sz="0" w:space="0" w:color="auto"/>
        <w:left w:val="none" w:sz="0" w:space="0" w:color="auto"/>
        <w:bottom w:val="none" w:sz="0" w:space="0" w:color="auto"/>
        <w:right w:val="none" w:sz="0" w:space="0" w:color="auto"/>
      </w:divBdr>
    </w:div>
    <w:div w:id="2058359014">
      <w:bodyDiv w:val="1"/>
      <w:marLeft w:val="0"/>
      <w:marRight w:val="0"/>
      <w:marTop w:val="0"/>
      <w:marBottom w:val="0"/>
      <w:divBdr>
        <w:top w:val="none" w:sz="0" w:space="0" w:color="auto"/>
        <w:left w:val="none" w:sz="0" w:space="0" w:color="auto"/>
        <w:bottom w:val="none" w:sz="0" w:space="0" w:color="auto"/>
        <w:right w:val="none" w:sz="0" w:space="0" w:color="auto"/>
      </w:divBdr>
    </w:div>
    <w:div w:id="2060274408">
      <w:bodyDiv w:val="1"/>
      <w:marLeft w:val="0"/>
      <w:marRight w:val="0"/>
      <w:marTop w:val="0"/>
      <w:marBottom w:val="0"/>
      <w:divBdr>
        <w:top w:val="none" w:sz="0" w:space="0" w:color="auto"/>
        <w:left w:val="none" w:sz="0" w:space="0" w:color="auto"/>
        <w:bottom w:val="none" w:sz="0" w:space="0" w:color="auto"/>
        <w:right w:val="none" w:sz="0" w:space="0" w:color="auto"/>
      </w:divBdr>
    </w:div>
    <w:div w:id="2072920758">
      <w:bodyDiv w:val="1"/>
      <w:marLeft w:val="0"/>
      <w:marRight w:val="0"/>
      <w:marTop w:val="0"/>
      <w:marBottom w:val="0"/>
      <w:divBdr>
        <w:top w:val="none" w:sz="0" w:space="0" w:color="auto"/>
        <w:left w:val="none" w:sz="0" w:space="0" w:color="auto"/>
        <w:bottom w:val="none" w:sz="0" w:space="0" w:color="auto"/>
        <w:right w:val="none" w:sz="0" w:space="0" w:color="auto"/>
      </w:divBdr>
    </w:div>
    <w:div w:id="20771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cc.org/Reliability/VAR-002-WECC-1.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SAW" ma:contentTypeID="0x010100E45EF0F8AAA65E428351BA36F1B645BE08007AC165356542C142A2D7855D1FF99BB0" ma:contentTypeVersion="9" ma:contentTypeDescription="" ma:contentTypeScope="" ma:versionID="df4d9b30bdbf7a1b614c9fa036e2c107">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92d76c52cfed5234e3529a34dc45568c"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Jurisdiction"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2:Standard_x0020_Family"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Jurisdiction" ma:index="13"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21"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Event_x0020_ID" ma:index="20" nillable="true" ma:displayName="Calendar Event ID" ma:internalName="Event_x0020_ID">
      <xsd:simpleType>
        <xsd:restriction base="dms:Note">
          <xsd:maxLength value="255"/>
        </xsd:restriction>
      </xsd:simpleType>
    </xsd:element>
    <xsd:element name="Approver" ma:index="22"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bd63098-0c83-43cf-abdd-085f2cc55a51">YWEQ7USXTMD7-3-8080</_dlc_DocId>
    <_dlc_DocIdUrl xmlns="4bd63098-0c83-43cf-abdd-085f2cc55a51">
      <Url>https://www.wecc.org/_layouts/15/DocIdRedir.aspx?ID=YWEQ7USXTMD7-3-8080</Url>
      <Description>YWEQ7USXTMD7-3-8080</Description>
    </_dlc_DocIdUrl>
    <Document_x0020_Categorization_x0020_Policy xmlns="2fb8a92a-9032-49d6-b983-191f0a73b01f">Report or Other</Document_x0020_Categorization_x0020_Policy>
    <TaxCatchAll xmlns="4bd63098-0c83-43cf-abdd-085f2cc55a51"/>
    <Privacy xmlns="2fb8a92a-9032-49d6-b983-191f0a73b01f">Public</Privacy>
    <Event_x0020_ID xmlns="4bd63098-0c83-43cf-abdd-085f2cc55a51" xsi:nil="true"/>
    <Committee xmlns="2fb8a92a-9032-49d6-b983-191f0a73b01f"/>
    <WECC_x0020_Status xmlns="2fb8a92a-9032-49d6-b983-191f0a73b01f" xsi:nil="true"/>
    <Owner_x0020_Group xmlns="2fb8a92a-9032-49d6-b983-191f0a73b01f">
      <Value>Compliance</Value>
    </Owner_x0020_Group>
    <TaxKeywordTaxHTField xmlns="4bd63098-0c83-43cf-abdd-085f2cc55a51">
      <Terms xmlns="http://schemas.microsoft.com/office/infopath/2007/PartnerControls"/>
    </TaxKeywordTaxHTField>
    <Jurisdiction xmlns="2fb8a92a-9032-49d6-b983-191f0a73b01f">
      <Value>US (United States)</Value>
    </Jurisdiction>
    <Standard_x0020_Family xmlns="2fb8a92a-9032-49d6-b983-191f0a73b01f">VAR</Standard_x0020_Family>
    <Approver xmlns="4bd63098-0c83-43cf-abdd-085f2cc55a51">
      <UserInfo>
        <DisplayName/>
        <AccountId/>
        <AccountType/>
      </UserInfo>
    </Approver>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06D116-8FD0-4307-8A4C-A574E661094F}"/>
</file>

<file path=customXml/itemProps2.xml><?xml version="1.0" encoding="utf-8"?>
<ds:datastoreItem xmlns:ds="http://schemas.openxmlformats.org/officeDocument/2006/customXml" ds:itemID="{6C2BBF37-7E17-4DB9-9958-AC95F8606A61}"/>
</file>

<file path=customXml/itemProps3.xml><?xml version="1.0" encoding="utf-8"?>
<ds:datastoreItem xmlns:ds="http://schemas.openxmlformats.org/officeDocument/2006/customXml" ds:itemID="{A999B799-5E63-4D76-8C0C-7E95947C0DC3}"/>
</file>

<file path=customXml/itemProps4.xml><?xml version="1.0" encoding="utf-8"?>
<ds:datastoreItem xmlns:ds="http://schemas.openxmlformats.org/officeDocument/2006/customXml" ds:itemID="{05B982C9-C26E-4E6D-8CAC-5FAAB8F08EDB}"/>
</file>

<file path=docProps/app.xml><?xml version="1.0" encoding="utf-8"?>
<Properties xmlns="http://schemas.openxmlformats.org/officeDocument/2006/extended-properties" xmlns:vt="http://schemas.openxmlformats.org/officeDocument/2006/docPropsVTypes">
  <Template>Normal.dotm</Template>
  <TotalTime>106</TotalTime>
  <Pages>6</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WECC</vt:lpstr>
    </vt:vector>
  </TitlesOfParts>
  <Company/>
  <LinksUpToDate>false</LinksUpToDate>
  <CharactersWithSpaces>8740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RSAW VAR-002-WECC-2 - Automatic Voltage Regulators</dc:title>
  <dc:creator>DSmith</dc:creator>
  <cp:lastModifiedBy>Salisbury, Jennifer</cp:lastModifiedBy>
  <cp:revision>32</cp:revision>
  <dcterms:created xsi:type="dcterms:W3CDTF">2013-01-28T22:10:00Z</dcterms:created>
  <dcterms:modified xsi:type="dcterms:W3CDTF">2015-08-24T20:11:00Z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993805e9-3b02-46fd-8394-42f61b2d7ae1</vt:lpwstr>
  </property>
  <property fmtid="{D5CDD505-2E9C-101B-9397-08002B2CF9AE}" pid="3" name="ContentTypeId">
    <vt:lpwstr>0x010100E45EF0F8AAA65E428351BA36F1B645BE08007AC165356542C142A2D7855D1FF99BB0</vt:lpwstr>
  </property>
  <property fmtid="{D5CDD505-2E9C-101B-9397-08002B2CF9AE}" pid="4" name="Order">
    <vt:r8>6300</vt:r8>
  </property>
  <property fmtid="{D5CDD505-2E9C-101B-9397-08002B2CF9AE}" pid="5" name="TaxKeyword">
    <vt:lpwstr/>
  </property>
</Properties>
</file>