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7E3" w:rsidRPr="009577E3" w:rsidRDefault="009577E3" w:rsidP="009577E3">
      <w:r>
        <w:t>WECC’s environmental</w:t>
      </w:r>
      <w:r w:rsidRPr="009577E3">
        <w:t xml:space="preserve"> risk classification system </w:t>
      </w:r>
      <w:r>
        <w:t>assigns a relative risk of encountering environmental sensitivities to</w:t>
      </w:r>
      <w:r w:rsidRPr="009577E3">
        <w:t xml:space="preserve"> land areas using preferred</w:t>
      </w:r>
      <w:r>
        <w:t xml:space="preserve"> environmental</w:t>
      </w:r>
      <w:r w:rsidRPr="009577E3">
        <w:t xml:space="preserve"> data sets</w:t>
      </w:r>
      <w:r>
        <w:t>.  Stakeholder can use these risks</w:t>
      </w:r>
      <w:r w:rsidRPr="009577E3">
        <w:t xml:space="preserve"> to plan and evaluate potential transmission alternatives.</w:t>
      </w:r>
    </w:p>
    <w:p w:rsidR="009577E3" w:rsidRPr="009577E3" w:rsidRDefault="009577E3" w:rsidP="009577E3">
      <w:r>
        <w:t>WECC, through the Environmental Data Task Force (EDTF),</w:t>
      </w:r>
      <w:r w:rsidRPr="009577E3">
        <w:t xml:space="preserve"> developed an environmental and cultural resource risk classification system that organized land areas (area types) by their suitability for trans-mission development based on their environmental and cultural sensitivities and constraints. EDTF then organized area type</w:t>
      </w:r>
      <w:r>
        <w:t>s into the four risk classifica</w:t>
      </w:r>
      <w:r w:rsidRPr="009577E3">
        <w:t>tion categories:</w:t>
      </w:r>
    </w:p>
    <w:p w:rsidR="009577E3" w:rsidRDefault="009577E3" w:rsidP="009577E3">
      <w:pPr>
        <w:pStyle w:val="ListParagraph"/>
        <w:numPr>
          <w:ilvl w:val="0"/>
          <w:numId w:val="13"/>
        </w:numPr>
        <w:contextualSpacing w:val="0"/>
      </w:pPr>
      <w:r w:rsidRPr="009577E3">
        <w:rPr>
          <w:b/>
        </w:rPr>
        <w:t>Risk Category 1:</w:t>
      </w:r>
      <w:r>
        <w:t xml:space="preserve"> L</w:t>
      </w:r>
      <w:r w:rsidRPr="009577E3">
        <w:t>east risk of environmental or cultural resource sensitivities and constraints (e.g., designated energy corridors)</w:t>
      </w:r>
    </w:p>
    <w:p w:rsidR="009577E3" w:rsidRPr="009577E3" w:rsidRDefault="009577E3" w:rsidP="009577E3">
      <w:pPr>
        <w:pStyle w:val="ListParagraph"/>
        <w:numPr>
          <w:ilvl w:val="0"/>
          <w:numId w:val="13"/>
        </w:numPr>
        <w:contextualSpacing w:val="0"/>
      </w:pPr>
      <w:r w:rsidRPr="009577E3">
        <w:rPr>
          <w:b/>
        </w:rPr>
        <w:t>Risk Category 2:</w:t>
      </w:r>
      <w:r>
        <w:t xml:space="preserve"> </w:t>
      </w:r>
      <w:r w:rsidRPr="009577E3">
        <w:t>Low to moderate risk of environmental or cultural resource sensitivities and constraints (e.g., other public lands)</w:t>
      </w:r>
    </w:p>
    <w:p w:rsidR="009577E3" w:rsidRPr="009577E3" w:rsidRDefault="009577E3" w:rsidP="009577E3">
      <w:pPr>
        <w:pStyle w:val="ListParagraph"/>
        <w:numPr>
          <w:ilvl w:val="0"/>
          <w:numId w:val="13"/>
        </w:numPr>
        <w:contextualSpacing w:val="0"/>
      </w:pPr>
      <w:r w:rsidRPr="009577E3">
        <w:rPr>
          <w:b/>
        </w:rPr>
        <w:t>Risk Category 3:</w:t>
      </w:r>
      <w:r>
        <w:t xml:space="preserve"> </w:t>
      </w:r>
      <w:r w:rsidRPr="009577E3">
        <w:t>High risk of environmental or cultural resource sensitivities and constraints (e.g., national monuments)</w:t>
      </w:r>
    </w:p>
    <w:p w:rsidR="009577E3" w:rsidRPr="009577E3" w:rsidRDefault="009577E3" w:rsidP="009577E3">
      <w:pPr>
        <w:pStyle w:val="ListParagraph"/>
        <w:numPr>
          <w:ilvl w:val="0"/>
          <w:numId w:val="13"/>
        </w:numPr>
      </w:pPr>
      <w:r w:rsidRPr="009577E3">
        <w:rPr>
          <w:b/>
        </w:rPr>
        <w:t>Risk Category 4:</w:t>
      </w:r>
      <w:r w:rsidRPr="009577E3">
        <w:t xml:space="preserve"> Areas </w:t>
      </w:r>
      <w:r>
        <w:t>currently</w:t>
      </w:r>
      <w:r w:rsidRPr="009577E3">
        <w:t xml:space="preserve"> precluded</w:t>
      </w:r>
      <w:r>
        <w:t xml:space="preserve"> from transmission development</w:t>
      </w:r>
      <w:r w:rsidRPr="009577E3">
        <w:t xml:space="preserve"> by law or regulation (e.g., wilderness areas) </w:t>
      </w:r>
    </w:p>
    <w:p w:rsidR="009577E3" w:rsidRPr="009577E3" w:rsidRDefault="009577E3" w:rsidP="009577E3">
      <w:r>
        <w:t>WECC uses these risk categories to identify least-environmental risk corridors for transmission development in its Long-Term Planning Tool (LTPT).  Other stakeholders use these categories to better understand potential environmental risks and avoid areas with the highest potential environmental risks</w:t>
      </w:r>
      <w:proofErr w:type="gramStart"/>
      <w:r>
        <w:t>.</w:t>
      </w:r>
      <w:r w:rsidR="00CF2B06">
        <w:t>.</w:t>
      </w:r>
      <w:bookmarkStart w:id="0" w:name="_GoBack"/>
      <w:bookmarkEnd w:id="0"/>
      <w:proofErr w:type="gramEnd"/>
    </w:p>
    <w:sectPr w:rsidR="009577E3" w:rsidRPr="009577E3" w:rsidSect="009E523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DF" w:rsidRDefault="001B75DF" w:rsidP="00997CD1">
      <w:pPr>
        <w:spacing w:after="0" w:line="240" w:lineRule="auto"/>
      </w:pPr>
      <w:r>
        <w:separator/>
      </w:r>
    </w:p>
  </w:endnote>
  <w:endnote w:type="continuationSeparator" w:id="0">
    <w:p w:rsidR="001B75DF" w:rsidRDefault="001B75DF" w:rsidP="00997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D1" w:rsidRPr="00192ABC" w:rsidRDefault="00100BE7" w:rsidP="00100BE7">
    <w:pPr>
      <w:pStyle w:val="Footer"/>
      <w:jc w:val="center"/>
      <w:rPr>
        <w:b/>
        <w:smallCaps/>
        <w:color w:val="1F9DAF"/>
        <w:spacing w:val="150"/>
      </w:rPr>
    </w:pPr>
    <w:r w:rsidRPr="00192ABC">
      <w:rPr>
        <w:b/>
        <w:smallCaps/>
        <w:color w:val="1F9DAF"/>
        <w:spacing w:val="150"/>
      </w:rPr>
      <w:t>Western Electricity Coordinating Council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61" w:rsidRPr="009E5230" w:rsidRDefault="00715CBD" w:rsidP="009E5230">
    <w:pPr>
      <w:pStyle w:val="Footer"/>
      <w:contextualSpacing/>
      <w:jc w:val="right"/>
      <w:rPr>
        <w:smallCaps/>
        <w:color w:val="1F9DAF" w:themeColor="accent1"/>
      </w:rPr>
    </w:pPr>
    <w:r w:rsidRPr="009E5230">
      <w:rPr>
        <w:smallCaps/>
        <w:noProof/>
        <w:color w:val="1F9DAF" w:themeColor="accent1"/>
      </w:rPr>
      <w:drawing>
        <wp:anchor distT="0" distB="0" distL="114300" distR="114300" simplePos="0" relativeHeight="251658240" behindDoc="1" locked="0" layoutInCell="1" allowOverlap="1" wp14:anchorId="1D200F11" wp14:editId="71EEBDF7">
          <wp:simplePos x="0" y="0"/>
          <wp:positionH relativeFrom="column">
            <wp:posOffset>8890</wp:posOffset>
          </wp:positionH>
          <wp:positionV relativeFrom="paragraph">
            <wp:posOffset>50800</wp:posOffset>
          </wp:positionV>
          <wp:extent cx="2054544" cy="640080"/>
          <wp:effectExtent l="0" t="0" r="3175" b="7620"/>
          <wp:wrapNone/>
          <wp:docPr id="5" name="Picture 5" descr="C:\Users\hrasmussen\Desktop\WECC_Logo_NEW_topheav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rasmussen\Desktop\WECC_Logo_NEW_topheav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544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230" w:rsidRPr="009E5230">
      <w:rPr>
        <w:smallCaps/>
        <w:color w:val="1F9DAF" w:themeColor="accent1"/>
      </w:rPr>
      <w:t>Western Electricity Coordinating Council</w:t>
    </w:r>
  </w:p>
  <w:p w:rsidR="009E5230" w:rsidRPr="009E5230" w:rsidRDefault="009E5230" w:rsidP="009E5230">
    <w:pPr>
      <w:pStyle w:val="Footer"/>
      <w:contextualSpacing/>
      <w:jc w:val="right"/>
      <w:rPr>
        <w:color w:val="1F9DAF" w:themeColor="accent1"/>
      </w:rPr>
    </w:pPr>
    <w:r w:rsidRPr="009E5230">
      <w:rPr>
        <w:color w:val="1F9DAF" w:themeColor="accent1"/>
      </w:rPr>
      <w:t>155 North 400 West, Suite 200</w:t>
    </w:r>
  </w:p>
  <w:p w:rsidR="009E5230" w:rsidRPr="009E5230" w:rsidRDefault="009E5230" w:rsidP="009E5230">
    <w:pPr>
      <w:pStyle w:val="Footer"/>
      <w:contextualSpacing/>
      <w:jc w:val="right"/>
      <w:rPr>
        <w:color w:val="1F9DAF" w:themeColor="accent1"/>
      </w:rPr>
    </w:pPr>
    <w:r w:rsidRPr="009E5230">
      <w:rPr>
        <w:color w:val="1F9DAF" w:themeColor="accent1"/>
      </w:rPr>
      <w:t>Salt Lake City, Utah 84103-1114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DF" w:rsidRDefault="001B75DF" w:rsidP="00997CD1">
      <w:pPr>
        <w:spacing w:after="0" w:line="240" w:lineRule="auto"/>
      </w:pPr>
      <w:r>
        <w:separator/>
      </w:r>
    </w:p>
  </w:footnote>
  <w:footnote w:type="continuationSeparator" w:id="0">
    <w:p w:rsidR="001B75DF" w:rsidRDefault="001B75DF" w:rsidP="00997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D1" w:rsidRPr="00192ABC" w:rsidRDefault="00715CBD" w:rsidP="00715CBD">
    <w:pPr>
      <w:spacing w:after="0" w:line="240" w:lineRule="auto"/>
      <w:jc w:val="both"/>
      <w:rPr>
        <w:b/>
        <w:noProof/>
        <w:color w:val="1F9DAF"/>
      </w:rPr>
    </w:pPr>
    <w:r w:rsidRPr="00192ABC">
      <w:rPr>
        <w:b/>
        <w:color w:val="1F9DAF"/>
      </w:rPr>
      <w:t>Document Title</w:t>
    </w:r>
    <w:r w:rsidRPr="00192ABC">
      <w:rPr>
        <w:b/>
        <w:color w:val="1F9DAF"/>
      </w:rPr>
      <w:ptab w:relativeTo="margin" w:alignment="center" w:leader="none"/>
    </w:r>
    <w:r w:rsidRPr="00192ABC">
      <w:rPr>
        <w:b/>
        <w:color w:val="1F9DAF"/>
      </w:rPr>
      <w:ptab w:relativeTo="margin" w:alignment="right" w:leader="none"/>
    </w:r>
    <w:r w:rsidRPr="00192ABC">
      <w:rPr>
        <w:b/>
        <w:color w:val="1F9DAF"/>
      </w:rPr>
      <w:fldChar w:fldCharType="begin"/>
    </w:r>
    <w:r w:rsidRPr="00192ABC">
      <w:rPr>
        <w:b/>
        <w:color w:val="1F9DAF"/>
      </w:rPr>
      <w:instrText xml:space="preserve"> PAGE   \* MERGEFORMAT </w:instrText>
    </w:r>
    <w:r w:rsidRPr="00192ABC">
      <w:rPr>
        <w:b/>
        <w:color w:val="1F9DAF"/>
      </w:rPr>
      <w:fldChar w:fldCharType="separate"/>
    </w:r>
    <w:r w:rsidR="009577E3">
      <w:rPr>
        <w:b/>
        <w:noProof/>
        <w:color w:val="1F9DAF"/>
      </w:rPr>
      <w:t>3</w:t>
    </w:r>
    <w:r w:rsidRPr="00192ABC">
      <w:rPr>
        <w:b/>
        <w:noProof/>
        <w:color w:val="1F9DAF"/>
      </w:rPr>
      <w:fldChar w:fldCharType="end"/>
    </w:r>
  </w:p>
  <w:p w:rsidR="00D6188A" w:rsidRPr="00E97E61" w:rsidRDefault="00D6188A" w:rsidP="00715CBD">
    <w:pPr>
      <w:spacing w:after="0" w:line="240" w:lineRule="auto"/>
      <w:jc w:val="both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61" w:rsidRPr="00887F8C" w:rsidRDefault="009577E3" w:rsidP="00887F8C">
    <w:pPr>
      <w:pStyle w:val="Header"/>
      <w:pBdr>
        <w:top w:val="single" w:sz="18" w:space="1" w:color="1F9DAF"/>
        <w:left w:val="single" w:sz="18" w:space="4" w:color="1F9DAF"/>
        <w:bottom w:val="single" w:sz="18" w:space="1" w:color="1F9DAF"/>
        <w:right w:val="single" w:sz="18" w:space="4" w:color="1F9DAF"/>
      </w:pBdr>
      <w:shd w:val="solid" w:color="1F9DAF" w:fill="1F9DAF"/>
      <w:jc w:val="right"/>
      <w:rPr>
        <w:b/>
        <w:color w:val="FFFFFF" w:themeColor="background1"/>
        <w:sz w:val="32"/>
        <w:szCs w:val="32"/>
      </w:rPr>
    </w:pPr>
    <w:r>
      <w:rPr>
        <w:b/>
        <w:color w:val="FFFFFF" w:themeColor="background1"/>
        <w:sz w:val="32"/>
        <w:szCs w:val="32"/>
      </w:rPr>
      <w:t>Environmental Risk Classification System</w:t>
    </w:r>
  </w:p>
  <w:p w:rsidR="009577E3" w:rsidRDefault="009577E3" w:rsidP="009E5230">
    <w:pPr>
      <w:pStyle w:val="Header"/>
      <w:pBdr>
        <w:top w:val="single" w:sz="18" w:space="1" w:color="1F9DAF"/>
        <w:left w:val="single" w:sz="18" w:space="4" w:color="1F9DAF"/>
        <w:bottom w:val="single" w:sz="18" w:space="1" w:color="1F9DAF"/>
        <w:right w:val="single" w:sz="18" w:space="4" w:color="1F9DAF"/>
      </w:pBdr>
      <w:shd w:val="solid" w:color="1F9DAF" w:fill="1F9DAF"/>
      <w:spacing w:before="0"/>
      <w:contextualSpacing/>
      <w:jc w:val="right"/>
      <w:rPr>
        <w:color w:val="FFFFFF" w:themeColor="background1"/>
        <w:sz w:val="32"/>
        <w:szCs w:val="32"/>
      </w:rPr>
    </w:pPr>
  </w:p>
  <w:p w:rsidR="009577E3" w:rsidRPr="009E5230" w:rsidRDefault="009577E3" w:rsidP="009577E3">
    <w:pPr>
      <w:pStyle w:val="Header"/>
      <w:pBdr>
        <w:top w:val="single" w:sz="18" w:space="1" w:color="1F9DAF"/>
        <w:left w:val="single" w:sz="18" w:space="4" w:color="1F9DAF"/>
        <w:bottom w:val="single" w:sz="18" w:space="1" w:color="1F9DAF"/>
        <w:right w:val="single" w:sz="18" w:space="4" w:color="1F9DAF"/>
      </w:pBdr>
      <w:shd w:val="solid" w:color="1F9DAF" w:fill="1F9DAF"/>
      <w:spacing w:before="0"/>
      <w:contextualSpacing/>
      <w:jc w:val="right"/>
      <w:rPr>
        <w:color w:val="FFFFFF" w:themeColor="background1"/>
        <w:sz w:val="32"/>
        <w:szCs w:val="32"/>
      </w:rPr>
    </w:pPr>
    <w:r>
      <w:rPr>
        <w:color w:val="FFFFFF" w:themeColor="background1"/>
        <w:sz w:val="32"/>
        <w:szCs w:val="32"/>
      </w:rPr>
      <w:t>February,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54478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80893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F4CA7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C281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F7695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B6B3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D44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C84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>
    <w:nsid w:val="FFFFFF89"/>
    <w:multiLevelType w:val="singleLevel"/>
    <w:tmpl w:val="D29C6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DD26BBA"/>
    <w:multiLevelType w:val="hybridMultilevel"/>
    <w:tmpl w:val="2088737E"/>
    <w:lvl w:ilvl="0" w:tplc="F434FF4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3B25594"/>
    <w:multiLevelType w:val="hybridMultilevel"/>
    <w:tmpl w:val="E2EC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A1D95"/>
    <w:multiLevelType w:val="hybridMultilevel"/>
    <w:tmpl w:val="6EFA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E3"/>
    <w:rsid w:val="00031AFB"/>
    <w:rsid w:val="00086AA6"/>
    <w:rsid w:val="000A753D"/>
    <w:rsid w:val="00100BE7"/>
    <w:rsid w:val="0016710F"/>
    <w:rsid w:val="00192ABC"/>
    <w:rsid w:val="001B75DF"/>
    <w:rsid w:val="00206B16"/>
    <w:rsid w:val="002972CE"/>
    <w:rsid w:val="0034659C"/>
    <w:rsid w:val="00420B9A"/>
    <w:rsid w:val="004810C7"/>
    <w:rsid w:val="00553C2B"/>
    <w:rsid w:val="005D0871"/>
    <w:rsid w:val="005D4224"/>
    <w:rsid w:val="005D578E"/>
    <w:rsid w:val="0064585B"/>
    <w:rsid w:val="00706E3B"/>
    <w:rsid w:val="00715CBD"/>
    <w:rsid w:val="00726300"/>
    <w:rsid w:val="00782E3B"/>
    <w:rsid w:val="00887F8C"/>
    <w:rsid w:val="008A2E8E"/>
    <w:rsid w:val="009577E3"/>
    <w:rsid w:val="00997CD1"/>
    <w:rsid w:val="009E5230"/>
    <w:rsid w:val="00A534C3"/>
    <w:rsid w:val="00BB49FA"/>
    <w:rsid w:val="00BF0D5D"/>
    <w:rsid w:val="00C905C0"/>
    <w:rsid w:val="00CF2B06"/>
    <w:rsid w:val="00CF787C"/>
    <w:rsid w:val="00D22868"/>
    <w:rsid w:val="00D6188A"/>
    <w:rsid w:val="00D64360"/>
    <w:rsid w:val="00E665C0"/>
    <w:rsid w:val="00E97E61"/>
    <w:rsid w:val="00F521FC"/>
    <w:rsid w:val="00F611DE"/>
    <w:rsid w:val="00F6624F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230"/>
    <w:pPr>
      <w:suppressAutoHyphens/>
      <w:spacing w:before="120"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E3B"/>
    <w:pPr>
      <w:keepNext/>
      <w:keepLines/>
      <w:pBdr>
        <w:bottom w:val="single" w:sz="12" w:space="1" w:color="414042"/>
      </w:pBdr>
      <w:spacing w:before="240"/>
      <w:outlineLvl w:val="0"/>
    </w:pPr>
    <w:rPr>
      <w:rFonts w:ascii="Calibri" w:eastAsiaTheme="majorEastAsia" w:hAnsi="Calibri" w:cstheme="majorBidi"/>
      <w:b/>
      <w:bCs/>
      <w:color w:val="1018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0F"/>
    <w:pPr>
      <w:keepNext/>
      <w:keepLines/>
      <w:pBdr>
        <w:bottom w:val="single" w:sz="6" w:space="1" w:color="414042"/>
      </w:pBdr>
      <w:spacing w:before="240"/>
      <w:outlineLvl w:val="1"/>
    </w:pPr>
    <w:rPr>
      <w:rFonts w:ascii="Calibri" w:eastAsiaTheme="majorEastAsia" w:hAnsi="Calibri" w:cstheme="majorBidi"/>
      <w:b/>
      <w:bCs/>
      <w:color w:val="10182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A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E3B"/>
    <w:rPr>
      <w:rFonts w:ascii="Calibri" w:eastAsiaTheme="majorEastAsia" w:hAnsi="Calibri" w:cstheme="majorBidi"/>
      <w:b/>
      <w:bCs/>
      <w:color w:val="1018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710F"/>
    <w:rPr>
      <w:rFonts w:ascii="Calibri" w:eastAsiaTheme="majorEastAsia" w:hAnsi="Calibri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qFormat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99"/>
    <w:unhideWhenUsed/>
    <w:rsid w:val="0099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CD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9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CD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D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92ABC"/>
    <w:rPr>
      <w:rFonts w:eastAsiaTheme="majorEastAsia" w:cstheme="majorBidi"/>
      <w:b/>
      <w:bCs/>
      <w:color w:val="000000" w:themeColor="text1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753D"/>
    <w:rPr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92ABC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unhideWhenUsed/>
    <w:qFormat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"/>
    <w:uiPriority w:val="99"/>
    <w:unhideWhenUsed/>
    <w:qFormat/>
    <w:rsid w:val="00CF787C"/>
    <w:pPr>
      <w:numPr>
        <w:numId w:val="3"/>
      </w:numPr>
      <w:tabs>
        <w:tab w:val="clear" w:pos="360"/>
      </w:tabs>
      <w:spacing w:after="60"/>
      <w:ind w:left="1080"/>
    </w:p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230"/>
    <w:pPr>
      <w:suppressAutoHyphens/>
      <w:spacing w:before="120"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E3B"/>
    <w:pPr>
      <w:keepNext/>
      <w:keepLines/>
      <w:pBdr>
        <w:bottom w:val="single" w:sz="12" w:space="1" w:color="414042"/>
      </w:pBdr>
      <w:spacing w:before="240"/>
      <w:outlineLvl w:val="0"/>
    </w:pPr>
    <w:rPr>
      <w:rFonts w:ascii="Calibri" w:eastAsiaTheme="majorEastAsia" w:hAnsi="Calibri" w:cstheme="majorBidi"/>
      <w:b/>
      <w:bCs/>
      <w:color w:val="1018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0F"/>
    <w:pPr>
      <w:keepNext/>
      <w:keepLines/>
      <w:pBdr>
        <w:bottom w:val="single" w:sz="6" w:space="1" w:color="414042"/>
      </w:pBdr>
      <w:spacing w:before="240"/>
      <w:outlineLvl w:val="1"/>
    </w:pPr>
    <w:rPr>
      <w:rFonts w:ascii="Calibri" w:eastAsiaTheme="majorEastAsia" w:hAnsi="Calibri" w:cstheme="majorBidi"/>
      <w:b/>
      <w:bCs/>
      <w:color w:val="10182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ABC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2ABC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E3B"/>
    <w:rPr>
      <w:rFonts w:ascii="Calibri" w:eastAsiaTheme="majorEastAsia" w:hAnsi="Calibri" w:cstheme="majorBidi"/>
      <w:b/>
      <w:bCs/>
      <w:color w:val="1018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710F"/>
    <w:rPr>
      <w:rFonts w:ascii="Calibri" w:eastAsiaTheme="majorEastAsia" w:hAnsi="Calibri" w:cstheme="majorBidi"/>
      <w:b/>
      <w:bCs/>
      <w:color w:val="101820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qFormat/>
    <w:rsid w:val="005D578E"/>
    <w:rPr>
      <w:color w:val="0070C0"/>
      <w:u w:val="none"/>
    </w:rPr>
  </w:style>
  <w:style w:type="paragraph" w:styleId="Header">
    <w:name w:val="header"/>
    <w:basedOn w:val="Normal"/>
    <w:link w:val="HeaderChar"/>
    <w:uiPriority w:val="99"/>
    <w:unhideWhenUsed/>
    <w:rsid w:val="0099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CD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97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CD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CD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192ABC"/>
    <w:rPr>
      <w:rFonts w:eastAsiaTheme="majorEastAsia" w:cstheme="majorBidi"/>
      <w:b/>
      <w:bCs/>
      <w:color w:val="000000" w:themeColor="text1"/>
      <w:sz w:val="26"/>
    </w:rPr>
  </w:style>
  <w:style w:type="paragraph" w:styleId="Quote">
    <w:name w:val="Quote"/>
    <w:basedOn w:val="Normal"/>
    <w:next w:val="Normal"/>
    <w:link w:val="QuoteChar"/>
    <w:uiPriority w:val="29"/>
    <w:qFormat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A753D"/>
    <w:rPr>
      <w:i/>
      <w:iCs/>
      <w:color w:val="000000" w:themeColor="text1"/>
      <w:sz w:val="24"/>
    </w:rPr>
  </w:style>
  <w:style w:type="paragraph" w:styleId="ListParagraph">
    <w:name w:val="List Paragraph"/>
    <w:basedOn w:val="Normal"/>
    <w:uiPriority w:val="34"/>
    <w:rsid w:val="000A753D"/>
    <w:pPr>
      <w:numPr>
        <w:numId w:val="1"/>
      </w:numPr>
      <w:ind w:left="720" w:firstLine="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92ABC"/>
    <w:rPr>
      <w:rFonts w:eastAsiaTheme="majorEastAsia" w:cstheme="majorBidi"/>
      <w:b/>
      <w:bCs/>
      <w:i/>
      <w:iCs/>
      <w:sz w:val="26"/>
    </w:rPr>
  </w:style>
  <w:style w:type="paragraph" w:styleId="ListNumber">
    <w:name w:val="List Number"/>
    <w:basedOn w:val="Normal"/>
    <w:uiPriority w:val="99"/>
    <w:unhideWhenUsed/>
    <w:qFormat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"/>
    <w:uiPriority w:val="99"/>
    <w:unhideWhenUsed/>
    <w:qFormat/>
    <w:rsid w:val="00CF787C"/>
    <w:pPr>
      <w:numPr>
        <w:numId w:val="3"/>
      </w:numPr>
      <w:tabs>
        <w:tab w:val="clear" w:pos="360"/>
      </w:tabs>
      <w:spacing w:after="60"/>
      <w:ind w:left="1080"/>
    </w:p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oertz\AppData\Roaming\Microsoft\Templates\Template_BasicDocument.dotx" TargetMode="External"/></Relationships>
</file>

<file path=word/theme/theme1.xml><?xml version="1.0" encoding="utf-8"?>
<a:theme xmlns:a="http://schemas.openxmlformats.org/drawingml/2006/main" name="2014 WECC Theme">
  <a:themeElements>
    <a:clrScheme name="2014 WECC Color">
      <a:dk1>
        <a:srgbClr val="000000"/>
      </a:dk1>
      <a:lt1>
        <a:srgbClr val="FFFFFF"/>
      </a:lt1>
      <a:dk2>
        <a:srgbClr val="414042"/>
      </a:dk2>
      <a:lt2>
        <a:srgbClr val="FFFFFF"/>
      </a:lt2>
      <a:accent1>
        <a:srgbClr val="1F9DAF"/>
      </a:accent1>
      <a:accent2>
        <a:srgbClr val="76C043"/>
      </a:accent2>
      <a:accent3>
        <a:srgbClr val="FFFF49"/>
      </a:accent3>
      <a:accent4>
        <a:srgbClr val="FF7800"/>
      </a:accent4>
      <a:accent5>
        <a:srgbClr val="FF3534"/>
      </a:accent5>
      <a:accent6>
        <a:srgbClr val="3D58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ports and Data" ma:contentTypeID="0x010100E45EF0F8AAA65E428351BA36F1B645BE13002E6F6DC43C53FC47ADB6E90BBD282A20" ma:contentTypeVersion="9" ma:contentTypeDescription="" ma:contentTypeScope="" ma:versionID="764390dfe78eafed5d3aa56d3a01c947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9ae469f0b8fabb9076990de9a87c43dd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ports" minOccurs="0"/>
                <xsd:element ref="ns2:Jurisdiction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3:TaxCatchAll" minOccurs="0"/>
                <xsd:element ref="ns3:TaxCatchAllLabel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ports" ma:index="14" nillable="true" ma:displayName="Other Reports" ma:format="Dropdown" ma:internalName="Other_x0020_Reports" ma:readOnly="false">
      <xsd:simpleType>
        <xsd:restriction base="dms:Choice">
          <xsd:enumeration value="Action Items"/>
          <xsd:enumeration value="Assessment"/>
          <xsd:enumeration value="Brief Report"/>
          <xsd:enumeration value="Comprehensive Progress Report"/>
          <xsd:enumeration value="Forecast"/>
          <xsd:enumeration value="Interpretation"/>
          <xsd:enumeration value="Map"/>
          <xsd:enumeration value="Preliminary Disturbance Report"/>
          <xsd:enumeration value="Release Notes"/>
          <xsd:enumeration value="Specifications"/>
          <xsd:enumeration value="Studies"/>
          <xsd:enumeration value="Video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16224b44-889d-4166-9284-f04ddcafbdf4}" ma:internalName="TaxCatchAllLabel" ma:readOnly="true" ma:showField="CatchAllDataLabel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>
      <Value>727</Value>
      <Value>561</Value>
    </TaxCatchAll>
    <Privacy xmlns="2fb8a92a-9032-49d6-b983-191f0a73b01f">Public</Privacy>
    <Event_x0020_ID xmlns="4bd63098-0c83-43cf-abdd-085f2cc55a51" xsi:nil="true"/>
    <Committee xmlns="2fb8a92a-9032-49d6-b983-191f0a73b01f">
      <Value>EDTF</Value>
    </Committee>
    <WECC_x0020_Status xmlns="2fb8a92a-9032-49d6-b983-191f0a73b01f" xsi:nil="true"/>
    <Owner_x0020_Group xmlns="2fb8a92a-9032-49d6-b983-191f0a73b01f">
      <Value>Transmission Expansion Planning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EDTF</TermName>
          <TermId xmlns="http://schemas.microsoft.com/office/infopath/2007/PartnerControls">b7460860-17bf-4436-834b-498a795a12a9</TermId>
        </TermInfo>
        <TermInfo xmlns="http://schemas.microsoft.com/office/infopath/2007/PartnerControls">
          <TermName xmlns="http://schemas.microsoft.com/office/infopath/2007/PartnerControls">Data</TermName>
          <TermId xmlns="http://schemas.microsoft.com/office/infopath/2007/PartnerControls">d769ff34-01ee-4063-8f53-397c7f9bd725</TermId>
        </TermInfo>
      </Terms>
    </TaxKeywordTaxHTField>
    <_dlc_DocId xmlns="4bd63098-0c83-43cf-abdd-085f2cc55a51">YWEQ7USXTMD7-3-4134</_dlc_DocId>
    <_dlc_DocIdUrl xmlns="4bd63098-0c83-43cf-abdd-085f2cc55a51">
      <Url>https://www.wecc.org/_layouts/15/DocIdRedir.aspx?ID=YWEQ7USXTMD7-3-4134</Url>
      <Description>YWEQ7USXTMD7-3-4134</Description>
    </_dlc_DocIdUrl>
    <Other_x0020_Reports xmlns="2fb8a92a-9032-49d6-b983-191f0a73b01f" xsi:nil="true"/>
    <Jurisdiction xmlns="2fb8a92a-9032-49d6-b983-191f0a73b01f"/>
    <Adopted_x002f_Approved_x0020_By xmlns="2fb8a92a-9032-49d6-b983-191f0a73b01f" xsi:nil="true"/>
    <Approver xmlns="4bd63098-0c83-43cf-abdd-085f2cc55a51">
      <UserInfo>
        <DisplayName/>
        <AccountId/>
        <AccountType/>
      </UserInfo>
    </Approver>
  </documentManagement>
</p:properties>
</file>

<file path=customXml/itemProps1.xml><?xml version="1.0" encoding="utf-8"?>
<ds:datastoreItem xmlns:ds="http://schemas.openxmlformats.org/officeDocument/2006/customXml" ds:itemID="{111424EC-2848-42A3-825F-0A1E3F256083}"/>
</file>

<file path=customXml/itemProps2.xml><?xml version="1.0" encoding="utf-8"?>
<ds:datastoreItem xmlns:ds="http://schemas.openxmlformats.org/officeDocument/2006/customXml" ds:itemID="{8D5CD20F-331D-4FAE-95D5-CB6F6001BB2C}"/>
</file>

<file path=customXml/itemProps3.xml><?xml version="1.0" encoding="utf-8"?>
<ds:datastoreItem xmlns:ds="http://schemas.openxmlformats.org/officeDocument/2006/customXml" ds:itemID="{04F6B8A6-0BF1-45D8-8439-EDC8444B4AC9}"/>
</file>

<file path=customXml/itemProps4.xml><?xml version="1.0" encoding="utf-8"?>
<ds:datastoreItem xmlns:ds="http://schemas.openxmlformats.org/officeDocument/2006/customXml" ds:itemID="{FE3F051E-E6AB-49E4-925E-F5CE05FF2D81}"/>
</file>

<file path=customXml/itemProps5.xml><?xml version="1.0" encoding="utf-8"?>
<ds:datastoreItem xmlns:ds="http://schemas.openxmlformats.org/officeDocument/2006/customXml" ds:itemID="{A383CB51-7A42-4B8D-B562-4915281CE494}"/>
</file>

<file path=docProps/app.xml><?xml version="1.0" encoding="utf-8"?>
<Properties xmlns="http://schemas.openxmlformats.org/officeDocument/2006/extended-properties" xmlns:vt="http://schemas.openxmlformats.org/officeDocument/2006/docPropsVTypes">
  <Template>Template_BasicDocument.dotx</Template>
  <TotalTime>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Risk Classification System</dc:title>
  <dc:creator>Woertz, Byron</dc:creator>
  <cp:keywords>EDTF; Data</cp:keywords>
  <cp:lastModifiedBy>Woertz, Byron</cp:lastModifiedBy>
  <cp:revision>2</cp:revision>
  <cp:lastPrinted>2014-08-21T16:28:00Z</cp:lastPrinted>
  <dcterms:created xsi:type="dcterms:W3CDTF">2015-02-20T22:28:00Z</dcterms:created>
  <dcterms:modified xsi:type="dcterms:W3CDTF">2015-02-20T22:37:00Z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0x010100E45EF0F8AAA65E428351BA36F1B645BE13002E6F6DC43C53FC47ADB6E90BBD282A20</vt:lpwstr>
  </property>
  <property fmtid="{D5CDD505-2E9C-101B-9397-08002B2CF9AE}" pid="3" name="_dlc_DocIdItemGuid">
    <vt:lpwstr>06d6d742-d9b2-46b8-8565-894362081506</vt:lpwstr>
  </property>
  <property fmtid="{D5CDD505-2E9C-101B-9397-08002B2CF9AE}" pid="4" name="TaxKeyword">
    <vt:lpwstr>727;#EDTF|b7460860-17bf-4436-834b-498a795a12a9;#561;#Data|d769ff34-01ee-4063-8f53-397c7f9bd725</vt:lpwstr>
  </property>
</Properties>
</file>