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53D" w:rsidRPr="00706E3B" w:rsidRDefault="005C635D" w:rsidP="000E7312">
      <w:pPr>
        <w:pStyle w:val="Heading1"/>
        <w:pBdr>
          <w:bottom w:val="single" w:sz="12" w:space="11" w:color="414042"/>
        </w:pBdr>
        <w:spacing w:before="120" w:line="240" w:lineRule="auto"/>
      </w:pPr>
      <w:r>
        <w:t>Change List</w:t>
      </w:r>
      <w:r w:rsidR="00BE4677">
        <w:t xml:space="preserve"> as of </w:t>
      </w:r>
      <w:r w:rsidR="00BF09B5">
        <w:rPr>
          <w:color w:val="FF0000"/>
        </w:rPr>
        <w:t xml:space="preserve">December </w:t>
      </w:r>
      <w:r w:rsidR="00602C51">
        <w:rPr>
          <w:color w:val="FF0000"/>
        </w:rPr>
        <w:t>06</w:t>
      </w:r>
      <w:r w:rsidR="00BE4677">
        <w:rPr>
          <w:color w:val="FF0000"/>
        </w:rPr>
        <w:t>, 2016</w:t>
      </w:r>
    </w:p>
    <w:p w:rsidR="00DD3B8D" w:rsidRPr="000E7312" w:rsidRDefault="005C635D" w:rsidP="000E7312">
      <w:pPr>
        <w:spacing w:after="60" w:line="240" w:lineRule="auto"/>
        <w:rPr>
          <w:sz w:val="22"/>
        </w:rPr>
      </w:pPr>
      <w:r w:rsidRPr="000E7312">
        <w:rPr>
          <w:sz w:val="22"/>
        </w:rPr>
        <w:t xml:space="preserve">As </w:t>
      </w:r>
      <w:r w:rsidR="001D0850" w:rsidRPr="000E7312">
        <w:rPr>
          <w:sz w:val="22"/>
        </w:rPr>
        <w:t xml:space="preserve">detailed </w:t>
      </w:r>
      <w:r w:rsidR="00DD3B8D" w:rsidRPr="000E7312">
        <w:rPr>
          <w:sz w:val="22"/>
        </w:rPr>
        <w:t>additions and changes to the input assumptions for the 202</w:t>
      </w:r>
      <w:r w:rsidR="008C6810" w:rsidRPr="000E7312">
        <w:rPr>
          <w:sz w:val="22"/>
        </w:rPr>
        <w:t>6</w:t>
      </w:r>
      <w:r w:rsidR="00DD3B8D" w:rsidRPr="000E7312">
        <w:rPr>
          <w:sz w:val="22"/>
        </w:rPr>
        <w:t xml:space="preserve"> </w:t>
      </w:r>
      <w:r w:rsidR="00D456AF" w:rsidRPr="000E7312">
        <w:rPr>
          <w:sz w:val="22"/>
        </w:rPr>
        <w:t>Common Case</w:t>
      </w:r>
      <w:r w:rsidR="00DD3B8D" w:rsidRPr="000E7312">
        <w:rPr>
          <w:sz w:val="22"/>
        </w:rPr>
        <w:t xml:space="preserve"> </w:t>
      </w:r>
      <w:r w:rsidR="00610BF0" w:rsidRPr="000E7312">
        <w:rPr>
          <w:sz w:val="22"/>
        </w:rPr>
        <w:t xml:space="preserve">(“Common Case”) </w:t>
      </w:r>
      <w:r w:rsidR="00DD3B8D" w:rsidRPr="000E7312">
        <w:rPr>
          <w:sz w:val="22"/>
        </w:rPr>
        <w:t xml:space="preserve">dataset are identified they </w:t>
      </w:r>
      <w:r w:rsidR="006C6EF7" w:rsidRPr="000E7312">
        <w:rPr>
          <w:sz w:val="22"/>
        </w:rPr>
        <w:t>have been</w:t>
      </w:r>
      <w:r w:rsidR="00DD3B8D" w:rsidRPr="000E7312">
        <w:rPr>
          <w:sz w:val="22"/>
        </w:rPr>
        <w:t xml:space="preserve"> logged in the table below. The additions and changes come from reputable sources such as:</w:t>
      </w:r>
    </w:p>
    <w:p w:rsidR="00DD3B8D" w:rsidRPr="000E7312" w:rsidRDefault="007D42B0" w:rsidP="000E7312">
      <w:pPr>
        <w:pStyle w:val="ListParagraph"/>
        <w:numPr>
          <w:ilvl w:val="0"/>
          <w:numId w:val="13"/>
        </w:numPr>
        <w:spacing w:before="60" w:after="60" w:line="240" w:lineRule="auto"/>
        <w:rPr>
          <w:sz w:val="22"/>
        </w:rPr>
      </w:pPr>
      <w:r w:rsidRPr="000E7312">
        <w:rPr>
          <w:sz w:val="22"/>
        </w:rPr>
        <w:t>G</w:t>
      </w:r>
      <w:r w:rsidR="00DD3B8D" w:rsidRPr="000E7312">
        <w:rPr>
          <w:sz w:val="22"/>
        </w:rPr>
        <w:t>eneration and transmission owners</w:t>
      </w:r>
      <w:r w:rsidRPr="000E7312">
        <w:rPr>
          <w:sz w:val="22"/>
        </w:rPr>
        <w:t>/developers</w:t>
      </w:r>
    </w:p>
    <w:p w:rsidR="007D42B0" w:rsidRPr="000E7312" w:rsidRDefault="007D42B0" w:rsidP="000E7312">
      <w:pPr>
        <w:pStyle w:val="ListParagraph"/>
        <w:numPr>
          <w:ilvl w:val="0"/>
          <w:numId w:val="13"/>
        </w:numPr>
        <w:spacing w:before="60" w:after="60" w:line="240" w:lineRule="auto"/>
        <w:rPr>
          <w:sz w:val="22"/>
        </w:rPr>
      </w:pPr>
      <w:r w:rsidRPr="000E7312">
        <w:rPr>
          <w:sz w:val="22"/>
        </w:rPr>
        <w:t>WECC stakeholders</w:t>
      </w:r>
      <w:r w:rsidR="001E0D5D" w:rsidRPr="000E7312">
        <w:rPr>
          <w:sz w:val="22"/>
        </w:rPr>
        <w:t xml:space="preserve">, </w:t>
      </w:r>
      <w:r w:rsidRPr="000E7312">
        <w:rPr>
          <w:sz w:val="22"/>
        </w:rPr>
        <w:t>Industry experts</w:t>
      </w:r>
      <w:r w:rsidR="001E0D5D" w:rsidRPr="000E7312">
        <w:rPr>
          <w:sz w:val="22"/>
        </w:rPr>
        <w:t>, Verifiable media</w:t>
      </w:r>
    </w:p>
    <w:p w:rsidR="00610BF0" w:rsidRPr="000E7312" w:rsidRDefault="00610BF0" w:rsidP="000E7312">
      <w:pPr>
        <w:spacing w:after="60" w:line="240" w:lineRule="auto"/>
        <w:rPr>
          <w:sz w:val="22"/>
        </w:rPr>
      </w:pPr>
      <w:r w:rsidRPr="000E7312">
        <w:rPr>
          <w:sz w:val="22"/>
        </w:rPr>
        <w:t>The change log contains the following inform</w:t>
      </w:r>
      <w:bookmarkStart w:id="0" w:name="_GoBack"/>
      <w:bookmarkEnd w:id="0"/>
      <w:r w:rsidRPr="000E7312">
        <w:rPr>
          <w:sz w:val="22"/>
        </w:rPr>
        <w:t>ation for each issue</w:t>
      </w:r>
      <w:r w:rsidR="009F0717">
        <w:rPr>
          <w:sz w:val="22"/>
        </w:rPr>
        <w:t xml:space="preserve"> (suggested table sort by case#, date, item)</w:t>
      </w:r>
      <w:r w:rsidRPr="000E7312">
        <w:rPr>
          <w:sz w:val="22"/>
        </w:rPr>
        <w:t>:</w:t>
      </w:r>
    </w:p>
    <w:p w:rsidR="00610BF0" w:rsidRPr="000E7312" w:rsidRDefault="00610BF0" w:rsidP="000E7312">
      <w:pPr>
        <w:pStyle w:val="ListParagraph"/>
        <w:numPr>
          <w:ilvl w:val="0"/>
          <w:numId w:val="15"/>
        </w:numPr>
        <w:spacing w:before="80" w:line="240" w:lineRule="auto"/>
        <w:rPr>
          <w:sz w:val="22"/>
        </w:rPr>
      </w:pPr>
      <w:r w:rsidRPr="000E7312">
        <w:rPr>
          <w:b/>
          <w:sz w:val="22"/>
          <w:u w:val="single"/>
        </w:rPr>
        <w:t>Date &amp; Item #</w:t>
      </w:r>
      <w:r w:rsidRPr="000E7312">
        <w:rPr>
          <w:sz w:val="22"/>
        </w:rPr>
        <w:t xml:space="preserve">: The date the issue was reported and/or logged by WECC staff, and the Item # is used </w:t>
      </w:r>
      <w:r w:rsidR="000E7312">
        <w:rPr>
          <w:sz w:val="22"/>
        </w:rPr>
        <w:t>for multiple issues</w:t>
      </w:r>
      <w:r w:rsidRPr="000E7312">
        <w:rPr>
          <w:sz w:val="22"/>
        </w:rPr>
        <w:t xml:space="preserve"> on the same date.</w:t>
      </w:r>
    </w:p>
    <w:p w:rsidR="00610BF0" w:rsidRPr="000E7312" w:rsidRDefault="00610BF0" w:rsidP="000E7312">
      <w:pPr>
        <w:pStyle w:val="ListParagraph"/>
        <w:numPr>
          <w:ilvl w:val="0"/>
          <w:numId w:val="15"/>
        </w:numPr>
        <w:spacing w:before="80" w:line="240" w:lineRule="auto"/>
        <w:rPr>
          <w:sz w:val="22"/>
        </w:rPr>
      </w:pPr>
      <w:r w:rsidRPr="000E7312">
        <w:rPr>
          <w:b/>
          <w:sz w:val="22"/>
          <w:u w:val="single"/>
        </w:rPr>
        <w:t>Description</w:t>
      </w:r>
      <w:r w:rsidRPr="000E7312">
        <w:rPr>
          <w:sz w:val="22"/>
        </w:rPr>
        <w:t>: Summary of the reported issue.</w:t>
      </w:r>
    </w:p>
    <w:p w:rsidR="00610BF0" w:rsidRPr="000E7312" w:rsidRDefault="00610BF0" w:rsidP="00E725A5">
      <w:pPr>
        <w:pStyle w:val="ListParagraph"/>
        <w:numPr>
          <w:ilvl w:val="0"/>
          <w:numId w:val="0"/>
        </w:numPr>
        <w:spacing w:before="80" w:line="240" w:lineRule="auto"/>
        <w:ind w:left="720"/>
        <w:rPr>
          <w:sz w:val="22"/>
        </w:rPr>
      </w:pPr>
    </w:p>
    <w:tbl>
      <w:tblPr>
        <w:tblStyle w:val="TableGrid"/>
        <w:tblW w:w="4395" w:type="pct"/>
        <w:tblLayout w:type="fixed"/>
        <w:tblCellMar>
          <w:top w:w="43" w:type="dxa"/>
          <w:left w:w="43" w:type="dxa"/>
          <w:bottom w:w="43" w:type="dxa"/>
          <w:right w:w="43" w:type="dxa"/>
        </w:tblCellMar>
        <w:tblLook w:val="04A0" w:firstRow="1" w:lastRow="0" w:firstColumn="1" w:lastColumn="0" w:noHBand="0" w:noVBand="1"/>
      </w:tblPr>
      <w:tblGrid>
        <w:gridCol w:w="893"/>
        <w:gridCol w:w="1025"/>
        <w:gridCol w:w="688"/>
        <w:gridCol w:w="9059"/>
        <w:gridCol w:w="984"/>
      </w:tblGrid>
      <w:tr w:rsidR="00E725A5" w:rsidRPr="007D42B0" w:rsidTr="00983396">
        <w:trPr>
          <w:cantSplit/>
          <w:tblHeader/>
        </w:trPr>
        <w:tc>
          <w:tcPr>
            <w:tcW w:w="353" w:type="pct"/>
            <w:vAlign w:val="center"/>
          </w:tcPr>
          <w:p w:rsidR="00E725A5" w:rsidRPr="007D42B0" w:rsidRDefault="00E725A5" w:rsidP="004D2AFE">
            <w:pPr>
              <w:spacing w:before="0" w:after="0"/>
              <w:rPr>
                <w:b/>
                <w:sz w:val="22"/>
              </w:rPr>
            </w:pPr>
            <w:r>
              <w:rPr>
                <w:b/>
                <w:sz w:val="22"/>
              </w:rPr>
              <w:t>Case #</w:t>
            </w:r>
          </w:p>
        </w:tc>
        <w:tc>
          <w:tcPr>
            <w:tcW w:w="405" w:type="pct"/>
            <w:vAlign w:val="center"/>
          </w:tcPr>
          <w:p w:rsidR="00E725A5" w:rsidRPr="007D42B0" w:rsidRDefault="00E725A5" w:rsidP="004D2AFE">
            <w:pPr>
              <w:spacing w:before="0" w:after="0"/>
              <w:rPr>
                <w:b/>
                <w:sz w:val="22"/>
              </w:rPr>
            </w:pPr>
            <w:r w:rsidRPr="007D42B0">
              <w:rPr>
                <w:b/>
                <w:sz w:val="22"/>
              </w:rPr>
              <w:t>Date</w:t>
            </w:r>
          </w:p>
        </w:tc>
        <w:tc>
          <w:tcPr>
            <w:tcW w:w="272" w:type="pct"/>
            <w:vAlign w:val="center"/>
          </w:tcPr>
          <w:p w:rsidR="00E725A5" w:rsidRPr="007D42B0" w:rsidRDefault="00E725A5" w:rsidP="004D2AFE">
            <w:pPr>
              <w:spacing w:before="0" w:after="0"/>
              <w:rPr>
                <w:b/>
                <w:sz w:val="22"/>
              </w:rPr>
            </w:pPr>
            <w:r w:rsidRPr="007D42B0">
              <w:rPr>
                <w:b/>
                <w:sz w:val="22"/>
              </w:rPr>
              <w:t>Item</w:t>
            </w:r>
            <w:r>
              <w:rPr>
                <w:b/>
                <w:sz w:val="22"/>
              </w:rPr>
              <w:t xml:space="preserve"> #</w:t>
            </w:r>
          </w:p>
        </w:tc>
        <w:tc>
          <w:tcPr>
            <w:tcW w:w="3581" w:type="pct"/>
            <w:vAlign w:val="center"/>
          </w:tcPr>
          <w:p w:rsidR="00E725A5" w:rsidRPr="007D42B0" w:rsidRDefault="00E725A5" w:rsidP="004D2AFE">
            <w:pPr>
              <w:spacing w:before="0" w:after="0"/>
              <w:rPr>
                <w:b/>
                <w:sz w:val="22"/>
              </w:rPr>
            </w:pPr>
            <w:r w:rsidRPr="007D42B0">
              <w:rPr>
                <w:b/>
                <w:sz w:val="22"/>
              </w:rPr>
              <w:t>Description</w:t>
            </w:r>
          </w:p>
        </w:tc>
        <w:tc>
          <w:tcPr>
            <w:tcW w:w="389" w:type="pct"/>
            <w:vAlign w:val="center"/>
          </w:tcPr>
          <w:p w:rsidR="00E725A5" w:rsidRDefault="00E725A5" w:rsidP="004D2AFE">
            <w:pPr>
              <w:spacing w:before="0" w:after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WECC</w:t>
            </w:r>
            <w:r>
              <w:rPr>
                <w:b/>
                <w:sz w:val="22"/>
              </w:rPr>
              <w:br/>
              <w:t>Priority</w:t>
            </w:r>
          </w:p>
        </w:tc>
      </w:tr>
      <w:tr w:rsidR="00E725A5" w:rsidRPr="007D42B0" w:rsidTr="00983396">
        <w:trPr>
          <w:cantSplit/>
        </w:trPr>
        <w:tc>
          <w:tcPr>
            <w:tcW w:w="353" w:type="pct"/>
            <w:vAlign w:val="center"/>
          </w:tcPr>
          <w:p w:rsidR="00E725A5" w:rsidRPr="007D42B0" w:rsidRDefault="00E725A5" w:rsidP="007759E6">
            <w:pPr>
              <w:spacing w:before="0" w:after="0"/>
              <w:rPr>
                <w:sz w:val="20"/>
              </w:rPr>
            </w:pPr>
          </w:p>
        </w:tc>
        <w:tc>
          <w:tcPr>
            <w:tcW w:w="405" w:type="pct"/>
            <w:vAlign w:val="center"/>
          </w:tcPr>
          <w:p w:rsidR="00E725A5" w:rsidRPr="007D42B0" w:rsidRDefault="00BF09B5" w:rsidP="007759E6">
            <w:pPr>
              <w:spacing w:before="0" w:after="0"/>
              <w:rPr>
                <w:sz w:val="20"/>
              </w:rPr>
            </w:pPr>
            <w:r>
              <w:rPr>
                <w:sz w:val="20"/>
              </w:rPr>
              <w:t>12/5</w:t>
            </w:r>
            <w:r w:rsidR="00E725A5">
              <w:rPr>
                <w:sz w:val="20"/>
              </w:rPr>
              <w:t>/16</w:t>
            </w:r>
          </w:p>
        </w:tc>
        <w:tc>
          <w:tcPr>
            <w:tcW w:w="272" w:type="pct"/>
            <w:vAlign w:val="center"/>
          </w:tcPr>
          <w:p w:rsidR="00E725A5" w:rsidRPr="007D42B0" w:rsidRDefault="00BF09B5" w:rsidP="00892F35">
            <w:pPr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81" w:type="pct"/>
            <w:vAlign w:val="center"/>
          </w:tcPr>
          <w:p w:rsidR="00E725A5" w:rsidRPr="007D42B0" w:rsidRDefault="00BF09B5" w:rsidP="00A16BF8">
            <w:pPr>
              <w:spacing w:before="0" w:after="0"/>
              <w:rPr>
                <w:sz w:val="20"/>
              </w:rPr>
            </w:pPr>
            <w:r w:rsidRPr="00BF09B5">
              <w:rPr>
                <w:sz w:val="20"/>
              </w:rPr>
              <w:t>160823 FERC 789 Reserves</w:t>
            </w:r>
            <w:r>
              <w:rPr>
                <w:sz w:val="20"/>
              </w:rPr>
              <w:t xml:space="preserve">: </w:t>
            </w:r>
            <w:r w:rsidR="005624B4">
              <w:rPr>
                <w:sz w:val="20"/>
              </w:rPr>
              <w:t>Re-applies the changes to model the new FERC reserve requirement of one-half of (3% of generation plus 3% of load). Prior version of GridView ignored the generation percent.</w:t>
            </w:r>
          </w:p>
        </w:tc>
        <w:tc>
          <w:tcPr>
            <w:tcW w:w="389" w:type="pct"/>
            <w:vAlign w:val="center"/>
          </w:tcPr>
          <w:p w:rsidR="00E725A5" w:rsidRDefault="00E725A5" w:rsidP="004D2AFE">
            <w:pPr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High</w:t>
            </w:r>
          </w:p>
        </w:tc>
      </w:tr>
      <w:tr w:rsidR="00BF09B5" w:rsidRPr="007D42B0" w:rsidTr="00983396">
        <w:trPr>
          <w:cantSplit/>
        </w:trPr>
        <w:tc>
          <w:tcPr>
            <w:tcW w:w="353" w:type="pct"/>
            <w:vAlign w:val="center"/>
          </w:tcPr>
          <w:p w:rsidR="00BF09B5" w:rsidRPr="007D42B0" w:rsidRDefault="00BF09B5" w:rsidP="00BF09B5">
            <w:pPr>
              <w:spacing w:before="0" w:after="0"/>
              <w:rPr>
                <w:sz w:val="20"/>
              </w:rPr>
            </w:pPr>
          </w:p>
        </w:tc>
        <w:tc>
          <w:tcPr>
            <w:tcW w:w="405" w:type="pct"/>
            <w:vAlign w:val="center"/>
          </w:tcPr>
          <w:p w:rsidR="00BF09B5" w:rsidRPr="007D42B0" w:rsidRDefault="00BF09B5" w:rsidP="00BF09B5">
            <w:pPr>
              <w:spacing w:before="0" w:after="0"/>
              <w:rPr>
                <w:sz w:val="20"/>
              </w:rPr>
            </w:pPr>
            <w:r>
              <w:rPr>
                <w:sz w:val="20"/>
              </w:rPr>
              <w:t>12/5/16</w:t>
            </w:r>
          </w:p>
        </w:tc>
        <w:tc>
          <w:tcPr>
            <w:tcW w:w="272" w:type="pct"/>
            <w:vAlign w:val="center"/>
          </w:tcPr>
          <w:p w:rsidR="00BF09B5" w:rsidRPr="007D42B0" w:rsidRDefault="00BF09B5" w:rsidP="00BF09B5">
            <w:pPr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581" w:type="pct"/>
            <w:vAlign w:val="center"/>
          </w:tcPr>
          <w:p w:rsidR="00BF09B5" w:rsidRPr="007D42B0" w:rsidRDefault="00BF09B5" w:rsidP="005624B4">
            <w:pPr>
              <w:spacing w:before="0" w:after="0"/>
              <w:rPr>
                <w:sz w:val="20"/>
              </w:rPr>
            </w:pPr>
            <w:r w:rsidRPr="00BF09B5">
              <w:rPr>
                <w:sz w:val="20"/>
              </w:rPr>
              <w:t>161021 More GIS Mapping</w:t>
            </w:r>
            <w:r>
              <w:rPr>
                <w:sz w:val="20"/>
              </w:rPr>
              <w:t>:</w:t>
            </w:r>
            <w:r w:rsidR="005624B4">
              <w:rPr>
                <w:sz w:val="20"/>
              </w:rPr>
              <w:t xml:space="preserve"> Adds GIS coordinated for additional buses</w:t>
            </w:r>
          </w:p>
        </w:tc>
        <w:tc>
          <w:tcPr>
            <w:tcW w:w="389" w:type="pct"/>
            <w:vAlign w:val="center"/>
          </w:tcPr>
          <w:p w:rsidR="00BF09B5" w:rsidRDefault="00BF09B5" w:rsidP="00BF09B5">
            <w:pPr>
              <w:spacing w:before="0" w:after="0"/>
              <w:jc w:val="center"/>
              <w:rPr>
                <w:sz w:val="20"/>
              </w:rPr>
            </w:pPr>
          </w:p>
        </w:tc>
      </w:tr>
      <w:tr w:rsidR="00BF09B5" w:rsidRPr="007D42B0" w:rsidTr="00983396">
        <w:trPr>
          <w:cantSplit/>
        </w:trPr>
        <w:tc>
          <w:tcPr>
            <w:tcW w:w="353" w:type="pct"/>
            <w:vAlign w:val="center"/>
          </w:tcPr>
          <w:p w:rsidR="00BF09B5" w:rsidRPr="007D42B0" w:rsidRDefault="00BF09B5" w:rsidP="00BF09B5">
            <w:pPr>
              <w:spacing w:before="0" w:after="0"/>
              <w:rPr>
                <w:sz w:val="20"/>
              </w:rPr>
            </w:pPr>
          </w:p>
        </w:tc>
        <w:tc>
          <w:tcPr>
            <w:tcW w:w="405" w:type="pct"/>
            <w:vAlign w:val="center"/>
          </w:tcPr>
          <w:p w:rsidR="00BF09B5" w:rsidRPr="007D42B0" w:rsidRDefault="00BF09B5" w:rsidP="00BF09B5">
            <w:pPr>
              <w:spacing w:before="0" w:after="0"/>
              <w:rPr>
                <w:sz w:val="20"/>
              </w:rPr>
            </w:pPr>
            <w:r>
              <w:rPr>
                <w:sz w:val="20"/>
              </w:rPr>
              <w:t>12/5/16</w:t>
            </w:r>
          </w:p>
        </w:tc>
        <w:tc>
          <w:tcPr>
            <w:tcW w:w="272" w:type="pct"/>
            <w:vAlign w:val="center"/>
          </w:tcPr>
          <w:p w:rsidR="00BF09B5" w:rsidRPr="007D42B0" w:rsidRDefault="00BF09B5" w:rsidP="00BF09B5">
            <w:pPr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581" w:type="pct"/>
            <w:vAlign w:val="center"/>
          </w:tcPr>
          <w:p w:rsidR="00BF09B5" w:rsidRPr="007D42B0" w:rsidRDefault="00BF09B5" w:rsidP="0094781D">
            <w:pPr>
              <w:spacing w:before="0" w:after="0"/>
              <w:rPr>
                <w:sz w:val="20"/>
              </w:rPr>
            </w:pPr>
            <w:r w:rsidRPr="00BF09B5">
              <w:rPr>
                <w:sz w:val="20"/>
              </w:rPr>
              <w:t>161121 Generator Tuning 01</w:t>
            </w:r>
            <w:r>
              <w:rPr>
                <w:sz w:val="20"/>
              </w:rPr>
              <w:t>:</w:t>
            </w:r>
            <w:r w:rsidR="005624B4">
              <w:rPr>
                <w:sz w:val="20"/>
              </w:rPr>
              <w:t xml:space="preserve"> Adds retirement dates for KUCC, </w:t>
            </w:r>
            <w:proofErr w:type="spellStart"/>
            <w:r w:rsidR="005624B4">
              <w:rPr>
                <w:sz w:val="20"/>
              </w:rPr>
              <w:t>Nucla</w:t>
            </w:r>
            <w:proofErr w:type="spellEnd"/>
            <w:r w:rsidR="005624B4">
              <w:rPr>
                <w:sz w:val="20"/>
              </w:rPr>
              <w:t xml:space="preserve">, Craig_1; </w:t>
            </w:r>
            <w:r w:rsidR="0094781D">
              <w:rPr>
                <w:sz w:val="20"/>
              </w:rPr>
              <w:t xml:space="preserve">Adds Carty 2 in NW; Modifies HR blocks for a few </w:t>
            </w:r>
            <w:proofErr w:type="spellStart"/>
            <w:r w:rsidR="0094781D">
              <w:rPr>
                <w:sz w:val="20"/>
              </w:rPr>
              <w:t>cogen</w:t>
            </w:r>
            <w:proofErr w:type="spellEnd"/>
            <w:r w:rsidR="0094781D">
              <w:rPr>
                <w:sz w:val="20"/>
              </w:rPr>
              <w:t xml:space="preserve"> units; Reinstates the capacity </w:t>
            </w:r>
            <w:proofErr w:type="spellStart"/>
            <w:r w:rsidR="0094781D">
              <w:rPr>
                <w:sz w:val="20"/>
              </w:rPr>
              <w:t>derates</w:t>
            </w:r>
            <w:proofErr w:type="spellEnd"/>
            <w:r w:rsidR="0094781D">
              <w:rPr>
                <w:sz w:val="20"/>
              </w:rPr>
              <w:t xml:space="preserve"> for the geothermal units</w:t>
            </w:r>
          </w:p>
        </w:tc>
        <w:tc>
          <w:tcPr>
            <w:tcW w:w="389" w:type="pct"/>
            <w:vAlign w:val="center"/>
          </w:tcPr>
          <w:p w:rsidR="00BF09B5" w:rsidRDefault="00BF09B5" w:rsidP="00BF09B5">
            <w:pPr>
              <w:spacing w:before="0" w:after="0"/>
              <w:jc w:val="center"/>
              <w:rPr>
                <w:sz w:val="20"/>
              </w:rPr>
            </w:pPr>
          </w:p>
        </w:tc>
      </w:tr>
      <w:tr w:rsidR="00983396" w:rsidRPr="007D42B0" w:rsidTr="00983396">
        <w:trPr>
          <w:cantSplit/>
        </w:trPr>
        <w:tc>
          <w:tcPr>
            <w:tcW w:w="353" w:type="pct"/>
            <w:vAlign w:val="center"/>
          </w:tcPr>
          <w:p w:rsidR="00983396" w:rsidRPr="007D42B0" w:rsidRDefault="00983396" w:rsidP="00BF09B5">
            <w:pPr>
              <w:spacing w:before="0" w:after="0"/>
              <w:rPr>
                <w:sz w:val="20"/>
              </w:rPr>
            </w:pPr>
          </w:p>
        </w:tc>
        <w:tc>
          <w:tcPr>
            <w:tcW w:w="405" w:type="pct"/>
            <w:vAlign w:val="center"/>
          </w:tcPr>
          <w:p w:rsidR="00983396" w:rsidRPr="007D42B0" w:rsidRDefault="00983396" w:rsidP="00BF09B5">
            <w:pPr>
              <w:spacing w:before="0" w:after="0"/>
              <w:rPr>
                <w:sz w:val="20"/>
              </w:rPr>
            </w:pPr>
            <w:r>
              <w:rPr>
                <w:sz w:val="20"/>
              </w:rPr>
              <w:t>11/28/16</w:t>
            </w:r>
          </w:p>
        </w:tc>
        <w:tc>
          <w:tcPr>
            <w:tcW w:w="272" w:type="pct"/>
            <w:vAlign w:val="center"/>
          </w:tcPr>
          <w:p w:rsidR="00983396" w:rsidRPr="007D42B0" w:rsidRDefault="00983396" w:rsidP="00BF09B5">
            <w:pPr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581" w:type="pct"/>
            <w:vAlign w:val="center"/>
          </w:tcPr>
          <w:p w:rsidR="00983396" w:rsidRPr="007D42B0" w:rsidRDefault="00983396" w:rsidP="00BF09B5">
            <w:pPr>
              <w:spacing w:before="0" w:after="0"/>
              <w:rPr>
                <w:sz w:val="20"/>
              </w:rPr>
            </w:pPr>
            <w:r>
              <w:rPr>
                <w:sz w:val="20"/>
              </w:rPr>
              <w:t xml:space="preserve">161128 </w:t>
            </w:r>
            <w:proofErr w:type="spellStart"/>
            <w:r w:rsidRPr="00BF09B5">
              <w:rPr>
                <w:sz w:val="20"/>
              </w:rPr>
              <w:t>BTM_CA_CEC_ForecastCapacity</w:t>
            </w:r>
            <w:proofErr w:type="spellEnd"/>
            <w:r>
              <w:rPr>
                <w:sz w:val="20"/>
              </w:rPr>
              <w:t>: Corrects BTM-PV Capacities to reflect CEC assumptions in California from assumption developed by E3 that were originally in the case.</w:t>
            </w:r>
          </w:p>
        </w:tc>
        <w:tc>
          <w:tcPr>
            <w:tcW w:w="389" w:type="pct"/>
            <w:vAlign w:val="center"/>
          </w:tcPr>
          <w:p w:rsidR="00983396" w:rsidRDefault="00983396" w:rsidP="00BF09B5">
            <w:pPr>
              <w:spacing w:before="0" w:after="0"/>
              <w:jc w:val="center"/>
              <w:rPr>
                <w:sz w:val="20"/>
              </w:rPr>
            </w:pPr>
          </w:p>
        </w:tc>
      </w:tr>
      <w:tr w:rsidR="00983396" w:rsidRPr="007D42B0" w:rsidTr="00983396">
        <w:trPr>
          <w:cantSplit/>
        </w:trPr>
        <w:tc>
          <w:tcPr>
            <w:tcW w:w="353" w:type="pct"/>
            <w:vAlign w:val="center"/>
          </w:tcPr>
          <w:p w:rsidR="00983396" w:rsidRPr="007D42B0" w:rsidRDefault="00983396" w:rsidP="00BF09B5">
            <w:pPr>
              <w:spacing w:before="0" w:after="0"/>
              <w:rPr>
                <w:sz w:val="20"/>
              </w:rPr>
            </w:pPr>
          </w:p>
        </w:tc>
        <w:tc>
          <w:tcPr>
            <w:tcW w:w="405" w:type="pct"/>
            <w:vAlign w:val="center"/>
          </w:tcPr>
          <w:p w:rsidR="00983396" w:rsidRPr="007D42B0" w:rsidRDefault="00983396" w:rsidP="00BF09B5">
            <w:pPr>
              <w:spacing w:before="0" w:after="0"/>
              <w:rPr>
                <w:sz w:val="20"/>
              </w:rPr>
            </w:pPr>
            <w:r>
              <w:rPr>
                <w:sz w:val="20"/>
              </w:rPr>
              <w:t>12/6/16</w:t>
            </w:r>
          </w:p>
        </w:tc>
        <w:tc>
          <w:tcPr>
            <w:tcW w:w="272" w:type="pct"/>
            <w:vAlign w:val="center"/>
          </w:tcPr>
          <w:p w:rsidR="00983396" w:rsidRPr="007D42B0" w:rsidRDefault="00983396" w:rsidP="00BF09B5">
            <w:pPr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3581" w:type="pct"/>
            <w:vAlign w:val="center"/>
          </w:tcPr>
          <w:p w:rsidR="00983396" w:rsidRPr="007D42B0" w:rsidRDefault="00983396" w:rsidP="00BF09B5">
            <w:pPr>
              <w:spacing w:before="0" w:after="0"/>
              <w:rPr>
                <w:sz w:val="20"/>
              </w:rPr>
            </w:pPr>
            <w:r>
              <w:rPr>
                <w:sz w:val="20"/>
              </w:rPr>
              <w:t>CIPV CIPB Load .</w:t>
            </w:r>
            <w:proofErr w:type="spellStart"/>
            <w:r>
              <w:rPr>
                <w:sz w:val="20"/>
              </w:rPr>
              <w:t>dat</w:t>
            </w:r>
            <w:proofErr w:type="spellEnd"/>
            <w:r>
              <w:rPr>
                <w:sz w:val="20"/>
              </w:rPr>
              <w:t>: updated load shapes that align load assumptions with CEC forecasts of BTM-PV to avoid double counting of offset loads from rooftop solar.</w:t>
            </w:r>
          </w:p>
        </w:tc>
        <w:tc>
          <w:tcPr>
            <w:tcW w:w="389" w:type="pct"/>
            <w:vAlign w:val="center"/>
          </w:tcPr>
          <w:p w:rsidR="00983396" w:rsidRDefault="00983396" w:rsidP="00BF09B5">
            <w:pPr>
              <w:spacing w:before="0" w:after="0"/>
              <w:jc w:val="center"/>
              <w:rPr>
                <w:sz w:val="20"/>
              </w:rPr>
            </w:pPr>
          </w:p>
        </w:tc>
      </w:tr>
      <w:tr w:rsidR="00983396" w:rsidRPr="007D42B0" w:rsidTr="00983396">
        <w:trPr>
          <w:cantSplit/>
        </w:trPr>
        <w:tc>
          <w:tcPr>
            <w:tcW w:w="353" w:type="pct"/>
            <w:vAlign w:val="center"/>
          </w:tcPr>
          <w:p w:rsidR="00983396" w:rsidRPr="007D42B0" w:rsidRDefault="00983396" w:rsidP="00BF09B5">
            <w:pPr>
              <w:spacing w:before="0" w:after="0"/>
              <w:rPr>
                <w:sz w:val="20"/>
              </w:rPr>
            </w:pPr>
          </w:p>
        </w:tc>
        <w:tc>
          <w:tcPr>
            <w:tcW w:w="405" w:type="pct"/>
            <w:vAlign w:val="center"/>
          </w:tcPr>
          <w:p w:rsidR="00983396" w:rsidRPr="007D42B0" w:rsidRDefault="00983396" w:rsidP="00BF09B5">
            <w:pPr>
              <w:spacing w:before="0" w:after="0"/>
              <w:rPr>
                <w:sz w:val="20"/>
              </w:rPr>
            </w:pPr>
          </w:p>
        </w:tc>
        <w:tc>
          <w:tcPr>
            <w:tcW w:w="272" w:type="pct"/>
            <w:vAlign w:val="center"/>
          </w:tcPr>
          <w:p w:rsidR="00983396" w:rsidRPr="007D42B0" w:rsidRDefault="00983396" w:rsidP="00BF09B5">
            <w:pPr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3581" w:type="pct"/>
            <w:vAlign w:val="center"/>
          </w:tcPr>
          <w:p w:rsidR="00983396" w:rsidRPr="007D42B0" w:rsidRDefault="00983396" w:rsidP="00BF09B5">
            <w:pPr>
              <w:spacing w:before="0" w:after="0"/>
              <w:rPr>
                <w:sz w:val="20"/>
              </w:rPr>
            </w:pPr>
          </w:p>
        </w:tc>
        <w:tc>
          <w:tcPr>
            <w:tcW w:w="389" w:type="pct"/>
            <w:vAlign w:val="center"/>
          </w:tcPr>
          <w:p w:rsidR="00983396" w:rsidRDefault="00983396" w:rsidP="00BF09B5">
            <w:pPr>
              <w:spacing w:before="0" w:after="0"/>
              <w:jc w:val="center"/>
              <w:rPr>
                <w:sz w:val="20"/>
              </w:rPr>
            </w:pPr>
          </w:p>
        </w:tc>
      </w:tr>
      <w:tr w:rsidR="00983396" w:rsidRPr="007D42B0" w:rsidTr="00983396">
        <w:trPr>
          <w:cantSplit/>
        </w:trPr>
        <w:tc>
          <w:tcPr>
            <w:tcW w:w="353" w:type="pct"/>
            <w:vAlign w:val="center"/>
          </w:tcPr>
          <w:p w:rsidR="00983396" w:rsidRPr="007D42B0" w:rsidRDefault="00983396" w:rsidP="00BF09B5">
            <w:pPr>
              <w:spacing w:before="0" w:after="0"/>
              <w:rPr>
                <w:sz w:val="20"/>
              </w:rPr>
            </w:pPr>
          </w:p>
        </w:tc>
        <w:tc>
          <w:tcPr>
            <w:tcW w:w="405" w:type="pct"/>
            <w:vAlign w:val="center"/>
          </w:tcPr>
          <w:p w:rsidR="00983396" w:rsidRPr="007D42B0" w:rsidRDefault="00983396" w:rsidP="00BF09B5">
            <w:pPr>
              <w:spacing w:before="0" w:after="0"/>
              <w:rPr>
                <w:sz w:val="20"/>
              </w:rPr>
            </w:pPr>
          </w:p>
        </w:tc>
        <w:tc>
          <w:tcPr>
            <w:tcW w:w="272" w:type="pct"/>
            <w:vAlign w:val="center"/>
          </w:tcPr>
          <w:p w:rsidR="00983396" w:rsidRPr="007D42B0" w:rsidRDefault="00983396" w:rsidP="00BF09B5">
            <w:pPr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3581" w:type="pct"/>
            <w:vAlign w:val="center"/>
          </w:tcPr>
          <w:p w:rsidR="00983396" w:rsidRPr="007D42B0" w:rsidRDefault="00983396" w:rsidP="00BF09B5">
            <w:pPr>
              <w:spacing w:before="0" w:after="0"/>
              <w:rPr>
                <w:sz w:val="20"/>
              </w:rPr>
            </w:pPr>
          </w:p>
        </w:tc>
        <w:tc>
          <w:tcPr>
            <w:tcW w:w="389" w:type="pct"/>
            <w:vAlign w:val="center"/>
          </w:tcPr>
          <w:p w:rsidR="00983396" w:rsidRDefault="00983396" w:rsidP="00BF09B5">
            <w:pPr>
              <w:spacing w:before="0" w:after="0"/>
              <w:jc w:val="center"/>
              <w:rPr>
                <w:sz w:val="20"/>
              </w:rPr>
            </w:pPr>
          </w:p>
        </w:tc>
      </w:tr>
      <w:tr w:rsidR="00983396" w:rsidRPr="007D42B0" w:rsidTr="00983396">
        <w:trPr>
          <w:cantSplit/>
        </w:trPr>
        <w:tc>
          <w:tcPr>
            <w:tcW w:w="353" w:type="pct"/>
            <w:vAlign w:val="center"/>
          </w:tcPr>
          <w:p w:rsidR="00983396" w:rsidRPr="007D42B0" w:rsidRDefault="00983396" w:rsidP="00BF09B5">
            <w:pPr>
              <w:spacing w:before="0" w:after="0"/>
              <w:rPr>
                <w:sz w:val="20"/>
              </w:rPr>
            </w:pPr>
          </w:p>
        </w:tc>
        <w:tc>
          <w:tcPr>
            <w:tcW w:w="405" w:type="pct"/>
            <w:vAlign w:val="center"/>
          </w:tcPr>
          <w:p w:rsidR="00983396" w:rsidRPr="007D42B0" w:rsidRDefault="00983396" w:rsidP="00BF09B5">
            <w:pPr>
              <w:spacing w:before="0" w:after="0"/>
              <w:rPr>
                <w:sz w:val="20"/>
              </w:rPr>
            </w:pPr>
          </w:p>
        </w:tc>
        <w:tc>
          <w:tcPr>
            <w:tcW w:w="272" w:type="pct"/>
            <w:vAlign w:val="center"/>
          </w:tcPr>
          <w:p w:rsidR="00983396" w:rsidRPr="007D42B0" w:rsidRDefault="00983396" w:rsidP="00BF09B5">
            <w:pPr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3581" w:type="pct"/>
            <w:vAlign w:val="center"/>
          </w:tcPr>
          <w:p w:rsidR="00983396" w:rsidRPr="007D42B0" w:rsidRDefault="00983396" w:rsidP="00BF09B5">
            <w:pPr>
              <w:spacing w:before="0" w:after="0"/>
              <w:rPr>
                <w:sz w:val="20"/>
              </w:rPr>
            </w:pPr>
          </w:p>
        </w:tc>
        <w:tc>
          <w:tcPr>
            <w:tcW w:w="389" w:type="pct"/>
            <w:vAlign w:val="center"/>
          </w:tcPr>
          <w:p w:rsidR="00983396" w:rsidRDefault="00983396" w:rsidP="00BF09B5">
            <w:pPr>
              <w:spacing w:before="0" w:after="0"/>
              <w:jc w:val="center"/>
              <w:rPr>
                <w:sz w:val="20"/>
              </w:rPr>
            </w:pPr>
          </w:p>
        </w:tc>
      </w:tr>
      <w:tr w:rsidR="00983396" w:rsidRPr="007D42B0" w:rsidTr="00983396">
        <w:trPr>
          <w:cantSplit/>
        </w:trPr>
        <w:tc>
          <w:tcPr>
            <w:tcW w:w="353" w:type="pct"/>
            <w:vAlign w:val="center"/>
          </w:tcPr>
          <w:p w:rsidR="00983396" w:rsidRPr="007D42B0" w:rsidRDefault="00983396" w:rsidP="00BF09B5">
            <w:pPr>
              <w:spacing w:before="0" w:after="0"/>
              <w:rPr>
                <w:sz w:val="20"/>
              </w:rPr>
            </w:pPr>
          </w:p>
        </w:tc>
        <w:tc>
          <w:tcPr>
            <w:tcW w:w="405" w:type="pct"/>
            <w:vAlign w:val="center"/>
          </w:tcPr>
          <w:p w:rsidR="00983396" w:rsidRPr="007D42B0" w:rsidRDefault="00983396" w:rsidP="00BF09B5">
            <w:pPr>
              <w:spacing w:before="0" w:after="0"/>
              <w:rPr>
                <w:sz w:val="20"/>
              </w:rPr>
            </w:pPr>
          </w:p>
        </w:tc>
        <w:tc>
          <w:tcPr>
            <w:tcW w:w="272" w:type="pct"/>
            <w:vAlign w:val="center"/>
          </w:tcPr>
          <w:p w:rsidR="00983396" w:rsidRPr="007D42B0" w:rsidRDefault="00983396" w:rsidP="00BF09B5">
            <w:pPr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3581" w:type="pct"/>
            <w:vAlign w:val="center"/>
          </w:tcPr>
          <w:p w:rsidR="00983396" w:rsidRPr="007D42B0" w:rsidRDefault="00983396" w:rsidP="00BF09B5">
            <w:pPr>
              <w:spacing w:before="0" w:after="0"/>
              <w:rPr>
                <w:sz w:val="20"/>
              </w:rPr>
            </w:pPr>
          </w:p>
        </w:tc>
        <w:tc>
          <w:tcPr>
            <w:tcW w:w="389" w:type="pct"/>
            <w:vAlign w:val="center"/>
          </w:tcPr>
          <w:p w:rsidR="00983396" w:rsidRDefault="00983396" w:rsidP="00BF09B5">
            <w:pPr>
              <w:spacing w:before="0" w:after="0"/>
              <w:jc w:val="center"/>
              <w:rPr>
                <w:sz w:val="20"/>
              </w:rPr>
            </w:pPr>
          </w:p>
        </w:tc>
      </w:tr>
    </w:tbl>
    <w:p w:rsidR="007D42B0" w:rsidRDefault="007D42B0" w:rsidP="007D42B0"/>
    <w:sectPr w:rsidR="007D42B0" w:rsidSect="004D2AFE">
      <w:headerReference w:type="default" r:id="rId8"/>
      <w:footerReference w:type="default" r:id="rId9"/>
      <w:headerReference w:type="first" r:id="rId10"/>
      <w:footerReference w:type="first" r:id="rId11"/>
      <w:pgSz w:w="15840" w:h="12240" w:orient="landscape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DF6" w:rsidRDefault="00224DF6" w:rsidP="00997CD1">
      <w:pPr>
        <w:spacing w:after="0" w:line="240" w:lineRule="auto"/>
      </w:pPr>
      <w:r>
        <w:separator/>
      </w:r>
    </w:p>
  </w:endnote>
  <w:endnote w:type="continuationSeparator" w:id="0">
    <w:p w:rsidR="00224DF6" w:rsidRDefault="00224DF6" w:rsidP="00997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swiss"/>
    <w:pitch w:val="variable"/>
    <w:sig w:usb0="00000001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DF6" w:rsidRPr="00192ABC" w:rsidRDefault="00224DF6" w:rsidP="00100BE7">
    <w:pPr>
      <w:pStyle w:val="Footer"/>
      <w:jc w:val="center"/>
      <w:rPr>
        <w:b/>
        <w:smallCaps/>
        <w:color w:val="1F9DAF"/>
        <w:spacing w:val="150"/>
      </w:rPr>
    </w:pPr>
    <w:r w:rsidRPr="00192ABC">
      <w:rPr>
        <w:b/>
        <w:smallCaps/>
        <w:color w:val="1F9DAF"/>
        <w:spacing w:val="150"/>
      </w:rPr>
      <w:t>Western Electricity Coordinating Council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DF6" w:rsidRPr="009E5230" w:rsidRDefault="00224DF6" w:rsidP="009E5230">
    <w:pPr>
      <w:pStyle w:val="Footer"/>
      <w:contextualSpacing/>
      <w:jc w:val="right"/>
      <w:rPr>
        <w:smallCaps/>
        <w:color w:val="1F9DAF" w:themeColor="accent1"/>
      </w:rPr>
    </w:pPr>
    <w:r w:rsidRPr="009E5230">
      <w:rPr>
        <w:smallCaps/>
        <w:noProof/>
        <w:color w:val="1F9DAF" w:themeColor="accent1"/>
      </w:rPr>
      <w:drawing>
        <wp:anchor distT="0" distB="0" distL="114300" distR="114300" simplePos="0" relativeHeight="251658240" behindDoc="1" locked="0" layoutInCell="1" allowOverlap="1" wp14:anchorId="43014EF3" wp14:editId="243EA150">
          <wp:simplePos x="0" y="0"/>
          <wp:positionH relativeFrom="column">
            <wp:posOffset>8890</wp:posOffset>
          </wp:positionH>
          <wp:positionV relativeFrom="paragraph">
            <wp:posOffset>50800</wp:posOffset>
          </wp:positionV>
          <wp:extent cx="2054544" cy="640080"/>
          <wp:effectExtent l="0" t="0" r="3175" b="7620"/>
          <wp:wrapNone/>
          <wp:docPr id="5" name="Picture 5" descr="C:\Users\hrasmussen\Desktop\WECC_Logo_NEW_topheav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rasmussen\Desktop\WECC_Logo_NEW_topheavy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4544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E5230">
      <w:rPr>
        <w:smallCaps/>
        <w:color w:val="1F9DAF" w:themeColor="accent1"/>
      </w:rPr>
      <w:t>Western Electricity Coordinating Council</w:t>
    </w:r>
  </w:p>
  <w:p w:rsidR="00224DF6" w:rsidRPr="009E5230" w:rsidRDefault="00224DF6" w:rsidP="009E5230">
    <w:pPr>
      <w:pStyle w:val="Footer"/>
      <w:contextualSpacing/>
      <w:jc w:val="right"/>
      <w:rPr>
        <w:color w:val="1F9DAF" w:themeColor="accent1"/>
      </w:rPr>
    </w:pPr>
    <w:r w:rsidRPr="009E5230">
      <w:rPr>
        <w:color w:val="1F9DAF" w:themeColor="accent1"/>
      </w:rPr>
      <w:t>155 North 400 West, Suite 200</w:t>
    </w:r>
  </w:p>
  <w:p w:rsidR="00224DF6" w:rsidRPr="009E5230" w:rsidRDefault="00224DF6" w:rsidP="009E5230">
    <w:pPr>
      <w:pStyle w:val="Footer"/>
      <w:contextualSpacing/>
      <w:jc w:val="right"/>
      <w:rPr>
        <w:color w:val="1F9DAF" w:themeColor="accent1"/>
      </w:rPr>
    </w:pPr>
    <w:r w:rsidRPr="009E5230">
      <w:rPr>
        <w:color w:val="1F9DAF" w:themeColor="accent1"/>
      </w:rPr>
      <w:t>Salt Lake City, Utah 84103-1114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DF6" w:rsidRDefault="00224DF6" w:rsidP="00997CD1">
      <w:pPr>
        <w:spacing w:after="0" w:line="240" w:lineRule="auto"/>
      </w:pPr>
      <w:r>
        <w:separator/>
      </w:r>
    </w:p>
  </w:footnote>
  <w:footnote w:type="continuationSeparator" w:id="0">
    <w:p w:rsidR="00224DF6" w:rsidRDefault="00224DF6" w:rsidP="00997C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DF6" w:rsidRPr="00192ABC" w:rsidRDefault="00224DF6" w:rsidP="00715CBD">
    <w:pPr>
      <w:spacing w:after="0" w:line="240" w:lineRule="auto"/>
      <w:jc w:val="both"/>
      <w:rPr>
        <w:b/>
        <w:noProof/>
        <w:color w:val="1F9DAF"/>
      </w:rPr>
    </w:pPr>
    <w:r>
      <w:rPr>
        <w:b/>
        <w:color w:val="1F9DAF"/>
      </w:rPr>
      <w:t>2024 Common Case Change Log</w:t>
    </w:r>
    <w:r w:rsidRPr="00192ABC">
      <w:rPr>
        <w:b/>
        <w:color w:val="1F9DAF"/>
      </w:rPr>
      <w:ptab w:relativeTo="margin" w:alignment="center" w:leader="none"/>
    </w:r>
    <w:r w:rsidRPr="00192ABC">
      <w:rPr>
        <w:b/>
        <w:color w:val="1F9DAF"/>
      </w:rPr>
      <w:ptab w:relativeTo="margin" w:alignment="right" w:leader="none"/>
    </w:r>
    <w:r w:rsidRPr="00192ABC">
      <w:rPr>
        <w:b/>
        <w:color w:val="1F9DAF"/>
      </w:rPr>
      <w:fldChar w:fldCharType="begin"/>
    </w:r>
    <w:r w:rsidRPr="00192ABC">
      <w:rPr>
        <w:b/>
        <w:color w:val="1F9DAF"/>
      </w:rPr>
      <w:instrText xml:space="preserve"> PAGE   \* MERGEFORMAT </w:instrText>
    </w:r>
    <w:r w:rsidRPr="00192ABC">
      <w:rPr>
        <w:b/>
        <w:color w:val="1F9DAF"/>
      </w:rPr>
      <w:fldChar w:fldCharType="separate"/>
    </w:r>
    <w:r w:rsidR="00BF09B5">
      <w:rPr>
        <w:b/>
        <w:noProof/>
        <w:color w:val="1F9DAF"/>
      </w:rPr>
      <w:t>2</w:t>
    </w:r>
    <w:r w:rsidRPr="00192ABC">
      <w:rPr>
        <w:b/>
        <w:noProof/>
        <w:color w:val="1F9DAF"/>
      </w:rPr>
      <w:fldChar w:fldCharType="end"/>
    </w:r>
  </w:p>
  <w:p w:rsidR="00224DF6" w:rsidRPr="00E97E61" w:rsidRDefault="00224DF6" w:rsidP="00715CBD">
    <w:pPr>
      <w:spacing w:after="0" w:line="240" w:lineRule="auto"/>
      <w:jc w:val="both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DF6" w:rsidRPr="009E5230" w:rsidRDefault="00224DF6" w:rsidP="005C635D">
    <w:pPr>
      <w:pStyle w:val="Header"/>
      <w:pBdr>
        <w:top w:val="single" w:sz="18" w:space="1" w:color="1F9DAF"/>
        <w:left w:val="single" w:sz="18" w:space="4" w:color="1F9DAF"/>
        <w:bottom w:val="single" w:sz="18" w:space="1" w:color="1F9DAF"/>
        <w:right w:val="single" w:sz="18" w:space="4" w:color="1F9DAF"/>
      </w:pBdr>
      <w:shd w:val="solid" w:color="1F9DAF" w:fill="1F9DAF"/>
      <w:jc w:val="center"/>
      <w:rPr>
        <w:color w:val="FFFFFF" w:themeColor="background1"/>
        <w:sz w:val="32"/>
        <w:szCs w:val="32"/>
      </w:rPr>
    </w:pPr>
    <w:r>
      <w:rPr>
        <w:b/>
        <w:color w:val="FFFFFF" w:themeColor="background1"/>
        <w:sz w:val="32"/>
        <w:szCs w:val="32"/>
      </w:rPr>
      <w:t>Change Log for 2026 Common Case Dataset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54478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808937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F4CA7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C2813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F76955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FB6B3A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D442C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47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C641010"/>
    <w:lvl w:ilvl="0">
      <w:start w:val="1"/>
      <w:numFmt w:val="decimal"/>
      <w:pStyle w:val="ListNumber"/>
      <w:lvlText w:val="%1."/>
      <w:lvlJc w:val="left"/>
      <w:pPr>
        <w:ind w:left="360" w:hanging="360"/>
      </w:pPr>
    </w:lvl>
  </w:abstractNum>
  <w:abstractNum w:abstractNumId="9" w15:restartNumberingAfterBreak="0">
    <w:nsid w:val="FFFFFF89"/>
    <w:multiLevelType w:val="singleLevel"/>
    <w:tmpl w:val="D29C62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AE7196"/>
    <w:multiLevelType w:val="hybridMultilevel"/>
    <w:tmpl w:val="C13A6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830542"/>
    <w:multiLevelType w:val="hybridMultilevel"/>
    <w:tmpl w:val="BEC889AC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DD26BBA"/>
    <w:multiLevelType w:val="hybridMultilevel"/>
    <w:tmpl w:val="2088737E"/>
    <w:lvl w:ilvl="0" w:tplc="F434FF4E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FEC0672"/>
    <w:multiLevelType w:val="hybridMultilevel"/>
    <w:tmpl w:val="9ADC763C"/>
    <w:lvl w:ilvl="0" w:tplc="A1A842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FC0237"/>
    <w:multiLevelType w:val="hybridMultilevel"/>
    <w:tmpl w:val="66DEB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67546"/>
    <w:multiLevelType w:val="hybridMultilevel"/>
    <w:tmpl w:val="81504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6D6FF6"/>
    <w:multiLevelType w:val="hybridMultilevel"/>
    <w:tmpl w:val="B5E46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121B99"/>
    <w:multiLevelType w:val="hybridMultilevel"/>
    <w:tmpl w:val="D59C7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8B0DB4"/>
    <w:multiLevelType w:val="hybridMultilevel"/>
    <w:tmpl w:val="C91E0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8"/>
  </w:num>
  <w:num w:numId="15">
    <w:abstractNumId w:val="15"/>
  </w:num>
  <w:num w:numId="16">
    <w:abstractNumId w:val="17"/>
  </w:num>
  <w:num w:numId="17">
    <w:abstractNumId w:val="14"/>
  </w:num>
  <w:num w:numId="18">
    <w:abstractNumId w:val="16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35D"/>
    <w:rsid w:val="00001C09"/>
    <w:rsid w:val="000316BD"/>
    <w:rsid w:val="00031AFB"/>
    <w:rsid w:val="0004043E"/>
    <w:rsid w:val="00072381"/>
    <w:rsid w:val="00086AA6"/>
    <w:rsid w:val="000A1F20"/>
    <w:rsid w:val="000A753D"/>
    <w:rsid w:val="000B1574"/>
    <w:rsid w:val="000C1D8B"/>
    <w:rsid w:val="000C2358"/>
    <w:rsid w:val="000E01D4"/>
    <w:rsid w:val="000E31B1"/>
    <w:rsid w:val="000E521B"/>
    <w:rsid w:val="000E7312"/>
    <w:rsid w:val="000F380E"/>
    <w:rsid w:val="00100BE7"/>
    <w:rsid w:val="00106505"/>
    <w:rsid w:val="001239B2"/>
    <w:rsid w:val="0013545E"/>
    <w:rsid w:val="001524B9"/>
    <w:rsid w:val="00161A52"/>
    <w:rsid w:val="0016710F"/>
    <w:rsid w:val="00170793"/>
    <w:rsid w:val="00192ABC"/>
    <w:rsid w:val="00193904"/>
    <w:rsid w:val="001963B2"/>
    <w:rsid w:val="001A7A5E"/>
    <w:rsid w:val="001D0850"/>
    <w:rsid w:val="001E0D5D"/>
    <w:rsid w:val="00206B16"/>
    <w:rsid w:val="00211DB8"/>
    <w:rsid w:val="00224DF6"/>
    <w:rsid w:val="00241FF7"/>
    <w:rsid w:val="00262E53"/>
    <w:rsid w:val="002935D2"/>
    <w:rsid w:val="002972CE"/>
    <w:rsid w:val="002A680D"/>
    <w:rsid w:val="002B3B6B"/>
    <w:rsid w:val="002C1F84"/>
    <w:rsid w:val="002D0553"/>
    <w:rsid w:val="002D3815"/>
    <w:rsid w:val="002D40BE"/>
    <w:rsid w:val="002E4077"/>
    <w:rsid w:val="00306E53"/>
    <w:rsid w:val="0032590F"/>
    <w:rsid w:val="00327916"/>
    <w:rsid w:val="003310E6"/>
    <w:rsid w:val="0034659C"/>
    <w:rsid w:val="003500F9"/>
    <w:rsid w:val="00383127"/>
    <w:rsid w:val="00386671"/>
    <w:rsid w:val="003932AF"/>
    <w:rsid w:val="003A4751"/>
    <w:rsid w:val="003A6CB3"/>
    <w:rsid w:val="003C4049"/>
    <w:rsid w:val="003C44ED"/>
    <w:rsid w:val="004062D6"/>
    <w:rsid w:val="00411066"/>
    <w:rsid w:val="00420B9A"/>
    <w:rsid w:val="00426FDE"/>
    <w:rsid w:val="004810C7"/>
    <w:rsid w:val="00490C98"/>
    <w:rsid w:val="004A07C5"/>
    <w:rsid w:val="004C0E65"/>
    <w:rsid w:val="004D2AFE"/>
    <w:rsid w:val="004E1A51"/>
    <w:rsid w:val="004F4BD9"/>
    <w:rsid w:val="00510D60"/>
    <w:rsid w:val="00530620"/>
    <w:rsid w:val="0055185A"/>
    <w:rsid w:val="00553C2B"/>
    <w:rsid w:val="00554A4A"/>
    <w:rsid w:val="005624B4"/>
    <w:rsid w:val="0057202B"/>
    <w:rsid w:val="005852CC"/>
    <w:rsid w:val="005940A9"/>
    <w:rsid w:val="005A51A4"/>
    <w:rsid w:val="005C135D"/>
    <w:rsid w:val="005C635D"/>
    <w:rsid w:val="005D0871"/>
    <w:rsid w:val="005D0BCA"/>
    <w:rsid w:val="005D4224"/>
    <w:rsid w:val="005D578E"/>
    <w:rsid w:val="00602C51"/>
    <w:rsid w:val="006048CB"/>
    <w:rsid w:val="00610BF0"/>
    <w:rsid w:val="00620627"/>
    <w:rsid w:val="0064585B"/>
    <w:rsid w:val="00672719"/>
    <w:rsid w:val="006748BE"/>
    <w:rsid w:val="006805B2"/>
    <w:rsid w:val="00683E7C"/>
    <w:rsid w:val="006A7475"/>
    <w:rsid w:val="006C6EF7"/>
    <w:rsid w:val="006D67C8"/>
    <w:rsid w:val="0070263E"/>
    <w:rsid w:val="00706E3B"/>
    <w:rsid w:val="00707108"/>
    <w:rsid w:val="0071307D"/>
    <w:rsid w:val="00715CBD"/>
    <w:rsid w:val="00726300"/>
    <w:rsid w:val="00733D0D"/>
    <w:rsid w:val="00743F87"/>
    <w:rsid w:val="00763E76"/>
    <w:rsid w:val="007759E6"/>
    <w:rsid w:val="00782E3B"/>
    <w:rsid w:val="007D42B0"/>
    <w:rsid w:val="007F7B69"/>
    <w:rsid w:val="008136FC"/>
    <w:rsid w:val="00816864"/>
    <w:rsid w:val="00830D28"/>
    <w:rsid w:val="008439CB"/>
    <w:rsid w:val="008537DF"/>
    <w:rsid w:val="00860D03"/>
    <w:rsid w:val="0086127A"/>
    <w:rsid w:val="00863A36"/>
    <w:rsid w:val="0086731C"/>
    <w:rsid w:val="00875010"/>
    <w:rsid w:val="0088184C"/>
    <w:rsid w:val="00883F4A"/>
    <w:rsid w:val="008865ED"/>
    <w:rsid w:val="00887F8C"/>
    <w:rsid w:val="00892DCA"/>
    <w:rsid w:val="00892F35"/>
    <w:rsid w:val="008A2E8E"/>
    <w:rsid w:val="008B056C"/>
    <w:rsid w:val="008B15AA"/>
    <w:rsid w:val="008B17FA"/>
    <w:rsid w:val="008C6810"/>
    <w:rsid w:val="008D0618"/>
    <w:rsid w:val="008D691C"/>
    <w:rsid w:val="00902326"/>
    <w:rsid w:val="009032C4"/>
    <w:rsid w:val="00905C82"/>
    <w:rsid w:val="0094781D"/>
    <w:rsid w:val="00970053"/>
    <w:rsid w:val="00971302"/>
    <w:rsid w:val="00983396"/>
    <w:rsid w:val="00993825"/>
    <w:rsid w:val="00997CD1"/>
    <w:rsid w:val="009C1A9D"/>
    <w:rsid w:val="009C4818"/>
    <w:rsid w:val="009E5230"/>
    <w:rsid w:val="009F0717"/>
    <w:rsid w:val="009F3F1A"/>
    <w:rsid w:val="009F7827"/>
    <w:rsid w:val="00A15A30"/>
    <w:rsid w:val="00A16392"/>
    <w:rsid w:val="00A16BF8"/>
    <w:rsid w:val="00A208C6"/>
    <w:rsid w:val="00A214E4"/>
    <w:rsid w:val="00A23F46"/>
    <w:rsid w:val="00A25B45"/>
    <w:rsid w:val="00A34464"/>
    <w:rsid w:val="00A35533"/>
    <w:rsid w:val="00A534C3"/>
    <w:rsid w:val="00A56132"/>
    <w:rsid w:val="00A56C25"/>
    <w:rsid w:val="00A87E10"/>
    <w:rsid w:val="00AB539E"/>
    <w:rsid w:val="00AC3B41"/>
    <w:rsid w:val="00AC3D30"/>
    <w:rsid w:val="00AD3180"/>
    <w:rsid w:val="00AE0984"/>
    <w:rsid w:val="00AF0855"/>
    <w:rsid w:val="00B0163F"/>
    <w:rsid w:val="00B12BD8"/>
    <w:rsid w:val="00B13AB7"/>
    <w:rsid w:val="00B31564"/>
    <w:rsid w:val="00B434BD"/>
    <w:rsid w:val="00B77B3E"/>
    <w:rsid w:val="00B91D11"/>
    <w:rsid w:val="00BB49FA"/>
    <w:rsid w:val="00BB7563"/>
    <w:rsid w:val="00BE4677"/>
    <w:rsid w:val="00BF09B5"/>
    <w:rsid w:val="00BF0D5D"/>
    <w:rsid w:val="00BF3CAF"/>
    <w:rsid w:val="00C00A4D"/>
    <w:rsid w:val="00C02AC6"/>
    <w:rsid w:val="00C0317C"/>
    <w:rsid w:val="00C04206"/>
    <w:rsid w:val="00C050BE"/>
    <w:rsid w:val="00C132C5"/>
    <w:rsid w:val="00C2118A"/>
    <w:rsid w:val="00C34C41"/>
    <w:rsid w:val="00C463D1"/>
    <w:rsid w:val="00C87BC9"/>
    <w:rsid w:val="00C905C0"/>
    <w:rsid w:val="00CA647D"/>
    <w:rsid w:val="00CC72E7"/>
    <w:rsid w:val="00CE3EE0"/>
    <w:rsid w:val="00CF6B51"/>
    <w:rsid w:val="00CF787C"/>
    <w:rsid w:val="00D1768D"/>
    <w:rsid w:val="00D22868"/>
    <w:rsid w:val="00D412EF"/>
    <w:rsid w:val="00D44E8D"/>
    <w:rsid w:val="00D456AF"/>
    <w:rsid w:val="00D6188A"/>
    <w:rsid w:val="00D641B7"/>
    <w:rsid w:val="00D64360"/>
    <w:rsid w:val="00D7612D"/>
    <w:rsid w:val="00D81CD1"/>
    <w:rsid w:val="00D866CA"/>
    <w:rsid w:val="00D97B00"/>
    <w:rsid w:val="00DA0743"/>
    <w:rsid w:val="00DA56BB"/>
    <w:rsid w:val="00DB6987"/>
    <w:rsid w:val="00DC2527"/>
    <w:rsid w:val="00DD3B8D"/>
    <w:rsid w:val="00E16332"/>
    <w:rsid w:val="00E327D1"/>
    <w:rsid w:val="00E46890"/>
    <w:rsid w:val="00E665C0"/>
    <w:rsid w:val="00E725A5"/>
    <w:rsid w:val="00E76108"/>
    <w:rsid w:val="00E85B75"/>
    <w:rsid w:val="00E97E61"/>
    <w:rsid w:val="00EA2308"/>
    <w:rsid w:val="00EB2321"/>
    <w:rsid w:val="00EB4E6A"/>
    <w:rsid w:val="00EB70E3"/>
    <w:rsid w:val="00ED40BC"/>
    <w:rsid w:val="00ED6721"/>
    <w:rsid w:val="00F521FC"/>
    <w:rsid w:val="00F543E4"/>
    <w:rsid w:val="00F611DE"/>
    <w:rsid w:val="00F64C2D"/>
    <w:rsid w:val="00F6624F"/>
    <w:rsid w:val="00F72673"/>
    <w:rsid w:val="00F840BD"/>
    <w:rsid w:val="00F87FB1"/>
    <w:rsid w:val="00F93229"/>
    <w:rsid w:val="00F93CB8"/>
    <w:rsid w:val="00F95986"/>
    <w:rsid w:val="00FB1495"/>
    <w:rsid w:val="00FB62A1"/>
    <w:rsid w:val="00FC32C5"/>
    <w:rsid w:val="00FC5817"/>
    <w:rsid w:val="00FD34D8"/>
    <w:rsid w:val="00FF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."/>
  <w:listSeparator w:val=","/>
  <w14:docId w14:val="680AB4F8"/>
  <w15:docId w15:val="{A30A77F1-9387-4494-B43A-DE8392A1F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E5230"/>
    <w:pPr>
      <w:suppressAutoHyphens/>
      <w:spacing w:before="120" w:after="120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6E3B"/>
    <w:pPr>
      <w:keepNext/>
      <w:keepLines/>
      <w:pBdr>
        <w:bottom w:val="single" w:sz="12" w:space="1" w:color="414042"/>
      </w:pBdr>
      <w:spacing w:before="240"/>
      <w:outlineLvl w:val="0"/>
    </w:pPr>
    <w:rPr>
      <w:rFonts w:ascii="Calibri" w:eastAsiaTheme="majorEastAsia" w:hAnsi="Calibri" w:cstheme="majorBidi"/>
      <w:b/>
      <w:bCs/>
      <w:color w:val="1018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6710F"/>
    <w:pPr>
      <w:keepNext/>
      <w:keepLines/>
      <w:pBdr>
        <w:bottom w:val="single" w:sz="6" w:space="1" w:color="414042"/>
      </w:pBdr>
      <w:spacing w:before="240"/>
      <w:outlineLvl w:val="1"/>
    </w:pPr>
    <w:rPr>
      <w:rFonts w:ascii="Calibri" w:eastAsiaTheme="majorEastAsia" w:hAnsi="Calibri" w:cstheme="majorBidi"/>
      <w:b/>
      <w:bCs/>
      <w:color w:val="10182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2ABC"/>
    <w:pPr>
      <w:keepNext/>
      <w:keepLines/>
      <w:spacing w:before="200"/>
      <w:outlineLvl w:val="2"/>
    </w:pPr>
    <w:rPr>
      <w:rFonts w:eastAsiaTheme="majorEastAsia" w:cstheme="majorBidi"/>
      <w:b/>
      <w:bCs/>
      <w:color w:val="000000" w:themeColor="text1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92ABC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6E3B"/>
    <w:rPr>
      <w:rFonts w:ascii="Calibri" w:eastAsiaTheme="majorEastAsia" w:hAnsi="Calibri" w:cstheme="majorBidi"/>
      <w:b/>
      <w:bCs/>
      <w:color w:val="1018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6710F"/>
    <w:rPr>
      <w:rFonts w:ascii="Calibri" w:eastAsiaTheme="majorEastAsia" w:hAnsi="Calibri" w:cstheme="majorBidi"/>
      <w:b/>
      <w:bCs/>
      <w:color w:val="101820"/>
      <w:sz w:val="26"/>
      <w:szCs w:val="26"/>
    </w:rPr>
  </w:style>
  <w:style w:type="character" w:styleId="Hyperlink">
    <w:name w:val="Hyperlink"/>
    <w:basedOn w:val="DefaultParagraphFont"/>
    <w:uiPriority w:val="99"/>
    <w:unhideWhenUsed/>
    <w:qFormat/>
    <w:rsid w:val="005D578E"/>
    <w:rPr>
      <w:color w:val="0070C0"/>
      <w:u w:val="none"/>
    </w:rPr>
  </w:style>
  <w:style w:type="paragraph" w:styleId="Header">
    <w:name w:val="header"/>
    <w:basedOn w:val="Normal"/>
    <w:link w:val="HeaderChar"/>
    <w:uiPriority w:val="99"/>
    <w:unhideWhenUsed/>
    <w:rsid w:val="00997C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7CD1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997C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7CD1"/>
    <w:rPr>
      <w:rFonts w:ascii="Arial" w:hAnsi="Arial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7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CD1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192ABC"/>
    <w:rPr>
      <w:rFonts w:eastAsiaTheme="majorEastAsia" w:cstheme="majorBidi"/>
      <w:b/>
      <w:bCs/>
      <w:color w:val="000000" w:themeColor="text1"/>
      <w:sz w:val="26"/>
    </w:rPr>
  </w:style>
  <w:style w:type="paragraph" w:styleId="Quote">
    <w:name w:val="Quote"/>
    <w:basedOn w:val="Normal"/>
    <w:next w:val="Normal"/>
    <w:link w:val="QuoteChar"/>
    <w:uiPriority w:val="29"/>
    <w:qFormat/>
    <w:rsid w:val="000A753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0A753D"/>
    <w:rPr>
      <w:i/>
      <w:iCs/>
      <w:color w:val="000000" w:themeColor="text1"/>
      <w:sz w:val="24"/>
    </w:rPr>
  </w:style>
  <w:style w:type="paragraph" w:styleId="ListParagraph">
    <w:name w:val="List Paragraph"/>
    <w:basedOn w:val="Normal"/>
    <w:uiPriority w:val="34"/>
    <w:qFormat/>
    <w:rsid w:val="000A753D"/>
    <w:pPr>
      <w:numPr>
        <w:numId w:val="1"/>
      </w:numPr>
      <w:ind w:left="720" w:firstLine="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192ABC"/>
    <w:rPr>
      <w:rFonts w:eastAsiaTheme="majorEastAsia" w:cstheme="majorBidi"/>
      <w:b/>
      <w:bCs/>
      <w:i/>
      <w:iCs/>
      <w:sz w:val="26"/>
    </w:rPr>
  </w:style>
  <w:style w:type="paragraph" w:styleId="ListNumber">
    <w:name w:val="List Number"/>
    <w:basedOn w:val="Normal"/>
    <w:uiPriority w:val="99"/>
    <w:unhideWhenUsed/>
    <w:qFormat/>
    <w:rsid w:val="00CF787C"/>
    <w:pPr>
      <w:numPr>
        <w:numId w:val="8"/>
      </w:numPr>
      <w:spacing w:after="60"/>
      <w:ind w:left="1080"/>
    </w:pPr>
  </w:style>
  <w:style w:type="paragraph" w:styleId="ListBullet">
    <w:name w:val="List Bullet"/>
    <w:basedOn w:val="Normal"/>
    <w:uiPriority w:val="99"/>
    <w:unhideWhenUsed/>
    <w:qFormat/>
    <w:rsid w:val="00CF787C"/>
    <w:pPr>
      <w:numPr>
        <w:numId w:val="3"/>
      </w:numPr>
      <w:tabs>
        <w:tab w:val="clear" w:pos="360"/>
      </w:tabs>
      <w:spacing w:after="60"/>
      <w:ind w:left="1080"/>
    </w:p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192ABC"/>
    <w:pPr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553C2B"/>
    <w:pPr>
      <w:spacing w:line="240" w:lineRule="auto"/>
      <w:contextualSpacing/>
      <w:jc w:val="center"/>
    </w:pPr>
    <w:rPr>
      <w:b/>
      <w:bCs/>
      <w:color w:val="000000" w:themeColor="text1"/>
      <w:sz w:val="20"/>
      <w:szCs w:val="18"/>
    </w:rPr>
  </w:style>
  <w:style w:type="table" w:styleId="TableGrid">
    <w:name w:val="Table Grid"/>
    <w:basedOn w:val="TableNormal"/>
    <w:uiPriority w:val="59"/>
    <w:rsid w:val="007D4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AC3D3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2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brownlee\AppData\Roaming\Microsoft\Templates\Template_BasicDocuments.dotx" TargetMode="External"/></Relationships>
</file>

<file path=word/theme/theme1.xml><?xml version="1.0" encoding="utf-8"?>
<a:theme xmlns:a="http://schemas.openxmlformats.org/drawingml/2006/main" name="2014 WECC Theme">
  <a:themeElements>
    <a:clrScheme name="2014 WECC Color">
      <a:dk1>
        <a:srgbClr val="000000"/>
      </a:dk1>
      <a:lt1>
        <a:srgbClr val="FFFFFF"/>
      </a:lt1>
      <a:dk2>
        <a:srgbClr val="414042"/>
      </a:dk2>
      <a:lt2>
        <a:srgbClr val="FFFFFF"/>
      </a:lt2>
      <a:accent1>
        <a:srgbClr val="1F9DAF"/>
      </a:accent1>
      <a:accent2>
        <a:srgbClr val="76C043"/>
      </a:accent2>
      <a:accent3>
        <a:srgbClr val="FFFF49"/>
      </a:accent3>
      <a:accent4>
        <a:srgbClr val="FF7800"/>
      </a:accent4>
      <a:accent5>
        <a:srgbClr val="FF3534"/>
      </a:accent5>
      <a:accent6>
        <a:srgbClr val="3D58A7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>
          <a:solidFill>
            <a:srgbClr val="1F9DAF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73B77-6B5A-4C2A-9D72-F4AA6A087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Template_BasicDocuments.dotx</Template>
  <TotalTime>18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WECC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Holland</dc:creator>
  <cp:lastModifiedBy>Beckstead, Dan</cp:lastModifiedBy>
  <cp:revision>5</cp:revision>
  <cp:lastPrinted>2016-08-26T16:26:00Z</cp:lastPrinted>
  <dcterms:created xsi:type="dcterms:W3CDTF">2017-01-12T16:29:00Z</dcterms:created>
  <dcterms:modified xsi:type="dcterms:W3CDTF">2017-01-12T17:42:00Z</dcterms:modified>
</cp:coreProperties>
</file>