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00922470" w:rsidR="00323BC9" w:rsidRPr="00E60569" w:rsidRDefault="0053685B" w:rsidP="00E60569">
      <w:pPr>
        <w:pStyle w:val="Heading1"/>
      </w:pPr>
      <w:r>
        <w:t xml:space="preserve">Posting </w:t>
      </w:r>
      <w:r w:rsidR="003E4CC0">
        <w:t>1</w:t>
      </w:r>
    </w:p>
    <w:p w14:paraId="04529282" w14:textId="77777777" w:rsidR="0053685B" w:rsidRDefault="0053685B" w:rsidP="0053685B">
      <w:pPr>
        <w:pStyle w:val="Heading2"/>
      </w:pPr>
      <w:r>
        <w:t>Posting</w:t>
      </w:r>
    </w:p>
    <w:p w14:paraId="1073C33F" w14:textId="0FC341F7" w:rsidR="00143454" w:rsidRDefault="0094025E" w:rsidP="0053685B">
      <w:bookmarkStart w:id="0" w:name="_Hlk17896249"/>
      <w:r>
        <w:t>Th</w:t>
      </w:r>
      <w:r w:rsidR="00A27E3A">
        <w:t xml:space="preserve">is project was posted </w:t>
      </w:r>
      <w:r>
        <w:t>for comment from</w:t>
      </w:r>
      <w:r w:rsidR="00A27E3A">
        <w:t xml:space="preserve"> </w:t>
      </w:r>
      <w:r w:rsidR="007511E4">
        <w:t>Ju</w:t>
      </w:r>
      <w:r w:rsidR="003E4CC0">
        <w:t>ly 20 through August 19, 2022.</w:t>
      </w:r>
      <w:r w:rsidR="00216976">
        <w:t xml:space="preserve"> </w:t>
      </w:r>
    </w:p>
    <w:p w14:paraId="08836DD2" w14:textId="33342670" w:rsidR="00E62C56" w:rsidRDefault="0053685B" w:rsidP="0053685B">
      <w:r w:rsidRPr="00BC2F0F">
        <w:t xml:space="preserve">WECC distributed notice for the </w:t>
      </w:r>
      <w:r w:rsidR="00DE4285" w:rsidRPr="00BC2F0F">
        <w:t xml:space="preserve">posting on </w:t>
      </w:r>
      <w:r w:rsidR="007511E4" w:rsidRPr="00BC2F0F">
        <w:t>Ju</w:t>
      </w:r>
      <w:r w:rsidR="003E4CC0" w:rsidRPr="00BC2F0F">
        <w:t>ly 13, 2022.</w:t>
      </w:r>
      <w:r w:rsidR="00216976">
        <w:t xml:space="preserve"> </w:t>
      </w:r>
      <w:r w:rsidRPr="00BC2F0F">
        <w:t xml:space="preserve">The </w:t>
      </w:r>
      <w:r w:rsidR="0091755C" w:rsidRPr="00BC2F0F">
        <w:t>WECC-0147 Table Revision Process</w:t>
      </w:r>
      <w:r w:rsidR="00257404">
        <w:t xml:space="preserve"> (Process) </w:t>
      </w:r>
      <w:r w:rsidR="0091755C" w:rsidRPr="00BC2F0F">
        <w:t xml:space="preserve">Drafting Team (DT) </w:t>
      </w:r>
      <w:r w:rsidRPr="00BC2F0F">
        <w:t>asked stakeholders to provide feedback on the proposed document</w:t>
      </w:r>
      <w:r w:rsidR="008D7432" w:rsidRPr="00BC2F0F">
        <w:t>(</w:t>
      </w:r>
      <w:r w:rsidR="00B437B5" w:rsidRPr="00BC2F0F">
        <w:t>s</w:t>
      </w:r>
      <w:r w:rsidR="008D7432" w:rsidRPr="00BC2F0F">
        <w:t>)</w:t>
      </w:r>
      <w:r w:rsidRPr="00BC2F0F">
        <w:t xml:space="preserve"> through a standardized </w:t>
      </w:r>
      <w:r w:rsidR="003E4CC0" w:rsidRPr="00BC2F0F">
        <w:t>WECC-provided web portal.</w:t>
      </w:r>
      <w:r w:rsidR="00216976">
        <w:t xml:space="preserve"> </w:t>
      </w:r>
      <w:r w:rsidR="00E62C56">
        <w:t xml:space="preserve">Documents posted for comment in Posting 1 included: </w:t>
      </w:r>
    </w:p>
    <w:p w14:paraId="0592FFD5" w14:textId="605A070A" w:rsidR="008D7432" w:rsidRDefault="00E62C56" w:rsidP="00E62C56">
      <w:pPr>
        <w:pStyle w:val="ListParagraph"/>
        <w:numPr>
          <w:ilvl w:val="0"/>
          <w:numId w:val="42"/>
        </w:numPr>
      </w:pPr>
      <w:r>
        <w:t>FAC-501-WECC-4, Transmission Maintenance</w:t>
      </w:r>
    </w:p>
    <w:p w14:paraId="78CD030A" w14:textId="129BCF16" w:rsidR="00E62C56" w:rsidRDefault="00E62C56" w:rsidP="00E62C56">
      <w:pPr>
        <w:pStyle w:val="ListParagraph"/>
        <w:numPr>
          <w:ilvl w:val="0"/>
          <w:numId w:val="42"/>
        </w:numPr>
      </w:pPr>
      <w:r>
        <w:t>Implementation Plan</w:t>
      </w:r>
    </w:p>
    <w:p w14:paraId="7E642A5F" w14:textId="5F43189D" w:rsidR="00E62C56" w:rsidRDefault="00E62C56" w:rsidP="00E62C56">
      <w:pPr>
        <w:pStyle w:val="ListParagraph"/>
        <w:numPr>
          <w:ilvl w:val="0"/>
          <w:numId w:val="42"/>
        </w:numPr>
      </w:pPr>
      <w:r>
        <w:t>Table Revision Process</w:t>
      </w:r>
      <w:r w:rsidR="00257404">
        <w:t xml:space="preserve"> (Process)</w:t>
      </w:r>
    </w:p>
    <w:p w14:paraId="055785C3" w14:textId="7C278B9B" w:rsidR="00E62C56" w:rsidRDefault="00207C13" w:rsidP="0053685B">
      <w:r>
        <w:t>Two comments were received</w:t>
      </w:r>
      <w:r w:rsidR="00E62C56">
        <w:t xml:space="preserve"> on the Process.</w:t>
      </w:r>
      <w:r w:rsidR="00216976">
        <w:t xml:space="preserve"> </w:t>
      </w:r>
      <w:r w:rsidR="00E62C56">
        <w:t>No comments were received on FAC-501-WECC-4 or the Implementation Plan.</w:t>
      </w:r>
      <w:r w:rsidR="00216976">
        <w:t xml:space="preserve"> </w:t>
      </w:r>
      <w:r w:rsidR="00A91FC7">
        <w:t xml:space="preserve">The drafting team does not foresee further postings of either the Standard or the Implementation Plan. </w:t>
      </w:r>
    </w:p>
    <w:p w14:paraId="00A22C93" w14:textId="2F34C68C" w:rsidR="00207C13" w:rsidRDefault="00207C13" w:rsidP="0053685B">
      <w:r>
        <w:t xml:space="preserve">One </w:t>
      </w:r>
      <w:r w:rsidR="00E62C56">
        <w:t xml:space="preserve">comment was provided through the </w:t>
      </w:r>
      <w:r>
        <w:t xml:space="preserve">WECC provided web portal and the other via an email attachment. </w:t>
      </w:r>
    </w:p>
    <w:p w14:paraId="3CB1257F" w14:textId="06FA3C3E" w:rsidR="0091755C" w:rsidRPr="00BC2F0F" w:rsidRDefault="003E4CC0" w:rsidP="0053685B">
      <w:r w:rsidRPr="00BC2F0F">
        <w:t>Per the WECC Reliability Standards Development Procedures (Procedures)</w:t>
      </w:r>
      <w:r w:rsidR="00216976">
        <w:t>,</w:t>
      </w:r>
      <w:r w:rsidRPr="00BC2F0F">
        <w:t xml:space="preserve"> drafting teams have the discretion to either accept or reject comments received outside of the </w:t>
      </w:r>
      <w:r w:rsidR="0091755C" w:rsidRPr="00BC2F0F">
        <w:t>web portal.</w:t>
      </w:r>
      <w:r w:rsidR="00216976">
        <w:t xml:space="preserve"> </w:t>
      </w:r>
      <w:r w:rsidR="0091755C" w:rsidRPr="00BC2F0F">
        <w:t>T</w:t>
      </w:r>
      <w:bookmarkStart w:id="1" w:name="_Hlk111789773"/>
      <w:r w:rsidR="0091755C" w:rsidRPr="00BC2F0F">
        <w:t xml:space="preserve">he DT </w:t>
      </w:r>
      <w:bookmarkEnd w:id="1"/>
      <w:r w:rsidR="0091755C" w:rsidRPr="00BC2F0F">
        <w:t>agreed to accept the comments received outside of the web portal.</w:t>
      </w:r>
    </w:p>
    <w:p w14:paraId="215A8109" w14:textId="125D3BDF" w:rsidR="003E4CC0" w:rsidRPr="00BC2F0F" w:rsidRDefault="0091755C" w:rsidP="0053685B">
      <w:r w:rsidRPr="00BC2F0F">
        <w:t>WECC encourages the use of the web portal to ensure valued stakeholder comments are not misplaced, overlooked, or erroneously recorded.</w:t>
      </w:r>
      <w:r w:rsidR="00216976">
        <w:t xml:space="preserve"> </w:t>
      </w:r>
    </w:p>
    <w:p w14:paraId="4344AC0E" w14:textId="77777777" w:rsidR="0053685B" w:rsidRDefault="0053685B" w:rsidP="0053685B">
      <w:pPr>
        <w:pStyle w:val="Heading2"/>
      </w:pPr>
      <w:r>
        <w:t>Location of Comments</w:t>
      </w:r>
    </w:p>
    <w:p w14:paraId="3C8977EB" w14:textId="6DFF2589" w:rsidR="0053685B" w:rsidRDefault="00A27E3A" w:rsidP="0053685B">
      <w:r>
        <w:t xml:space="preserve">Comments can </w:t>
      </w:r>
      <w:r w:rsidR="00FF343F">
        <w:t xml:space="preserve">be </w:t>
      </w:r>
      <w:r w:rsidR="0053685B">
        <w:t>viewed in their original format on the</w:t>
      </w:r>
      <w:r w:rsidR="0091755C">
        <w:t xml:space="preserve"> </w:t>
      </w:r>
      <w:hyperlink r:id="rId12" w:history="1">
        <w:r w:rsidR="0091755C">
          <w:rPr>
            <w:rStyle w:val="Hyperlink"/>
          </w:rPr>
          <w:t>WECC-0149</w:t>
        </w:r>
      </w:hyperlink>
      <w:r w:rsidR="0091755C">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lastRenderedPageBreak/>
        <w:t>Changes in Response to Comment</w:t>
      </w:r>
    </w:p>
    <w:p w14:paraId="477C8FCC" w14:textId="534D8ED2" w:rsidR="0035498A" w:rsidRDefault="0035498A" w:rsidP="0053685B">
      <w:pPr>
        <w:pStyle w:val="Heading2"/>
        <w:rPr>
          <w:rFonts w:ascii="Palatino Linotype" w:hAnsi="Palatino Linotype"/>
          <w:b w:val="0"/>
          <w:bCs/>
          <w:sz w:val="22"/>
        </w:rPr>
      </w:pPr>
      <w:r>
        <w:rPr>
          <w:rFonts w:ascii="Palatino Linotype" w:hAnsi="Palatino Linotype"/>
          <w:b w:val="0"/>
          <w:bCs/>
          <w:sz w:val="22"/>
        </w:rPr>
        <w:t>The preamble was updated with a note to indicate the preamble will be decoupled from the Process prior to finalization.</w:t>
      </w:r>
      <w:r w:rsidR="00216976">
        <w:rPr>
          <w:rFonts w:ascii="Palatino Linotype" w:hAnsi="Palatino Linotype"/>
          <w:b w:val="0"/>
          <w:bCs/>
          <w:sz w:val="22"/>
        </w:rPr>
        <w:t xml:space="preserve"> </w:t>
      </w:r>
      <w:r>
        <w:rPr>
          <w:rFonts w:ascii="Palatino Linotype" w:hAnsi="Palatino Linotype"/>
          <w:b w:val="0"/>
          <w:bCs/>
          <w:sz w:val="22"/>
        </w:rPr>
        <w:t>During postings, the preamble is informational only.</w:t>
      </w:r>
      <w:r w:rsidR="00216976">
        <w:rPr>
          <w:rFonts w:ascii="Palatino Linotype" w:hAnsi="Palatino Linotype"/>
          <w:b w:val="0"/>
          <w:bCs/>
          <w:sz w:val="22"/>
        </w:rPr>
        <w:t xml:space="preserve"> </w:t>
      </w:r>
      <w:r>
        <w:rPr>
          <w:rFonts w:ascii="Palatino Linotype" w:hAnsi="Palatino Linotype"/>
          <w:b w:val="0"/>
          <w:bCs/>
          <w:sz w:val="22"/>
        </w:rPr>
        <w:t xml:space="preserve">If the project is approved, the preamble will be used as the foundation for the NERC/FERC filing. </w:t>
      </w:r>
    </w:p>
    <w:p w14:paraId="33722967" w14:textId="77777777" w:rsidR="0035498A" w:rsidRDefault="0035498A" w:rsidP="0053685B">
      <w:pPr>
        <w:pStyle w:val="Heading2"/>
        <w:rPr>
          <w:rFonts w:ascii="Palatino Linotype" w:hAnsi="Palatino Linotype"/>
          <w:b w:val="0"/>
          <w:bCs/>
          <w:sz w:val="22"/>
        </w:rPr>
      </w:pPr>
      <w:r>
        <w:rPr>
          <w:rFonts w:ascii="Palatino Linotype" w:hAnsi="Palatino Linotype"/>
          <w:b w:val="0"/>
          <w:bCs/>
          <w:sz w:val="22"/>
        </w:rPr>
        <w:t xml:space="preserve">The Process was changed as follows: </w:t>
      </w:r>
    </w:p>
    <w:p w14:paraId="6A2EB640" w14:textId="798D0F14" w:rsidR="0035498A" w:rsidRDefault="0035498A" w:rsidP="0035498A">
      <w:pPr>
        <w:pStyle w:val="Heading2"/>
        <w:numPr>
          <w:ilvl w:val="0"/>
          <w:numId w:val="43"/>
        </w:numPr>
        <w:spacing w:before="0" w:after="100" w:afterAutospacing="1"/>
        <w:contextualSpacing/>
        <w:rPr>
          <w:rFonts w:ascii="Palatino Linotype" w:hAnsi="Palatino Linotype"/>
          <w:b w:val="0"/>
          <w:bCs/>
          <w:sz w:val="22"/>
        </w:rPr>
      </w:pPr>
      <w:r>
        <w:rPr>
          <w:rFonts w:ascii="Palatino Linotype" w:hAnsi="Palatino Linotype"/>
          <w:b w:val="0"/>
          <w:bCs/>
          <w:sz w:val="22"/>
        </w:rPr>
        <w:t>“…or its successor” was added to clarify the role of the Reliability Risk Committee. “Or its successor.”</w:t>
      </w:r>
    </w:p>
    <w:p w14:paraId="3388692E" w14:textId="6BEFFE22" w:rsidR="0035498A" w:rsidRDefault="0035498A" w:rsidP="0035498A">
      <w:pPr>
        <w:pStyle w:val="ListParagraph"/>
        <w:numPr>
          <w:ilvl w:val="0"/>
          <w:numId w:val="43"/>
        </w:numPr>
        <w:spacing w:before="0" w:after="100" w:afterAutospacing="1"/>
      </w:pPr>
      <w:r>
        <w:t xml:space="preserve">“Path List” was deleted </w:t>
      </w:r>
      <w:r w:rsidR="006E1C73">
        <w:t>as redundant.</w:t>
      </w:r>
    </w:p>
    <w:p w14:paraId="70F5558F" w14:textId="40C422A5" w:rsidR="006E1C73" w:rsidRDefault="006E1C73" w:rsidP="0035498A">
      <w:pPr>
        <w:pStyle w:val="ListParagraph"/>
        <w:numPr>
          <w:ilvl w:val="0"/>
          <w:numId w:val="43"/>
        </w:numPr>
        <w:spacing w:before="0" w:after="100" w:afterAutospacing="1"/>
      </w:pPr>
      <w:r>
        <w:t xml:space="preserve">In Section 2. Number, a footnote was added clarifying that the Process is not enforceable by a Compliance Enforcement entity. </w:t>
      </w:r>
    </w:p>
    <w:p w14:paraId="6CCE4021" w14:textId="7613B512" w:rsidR="006E1C73" w:rsidRDefault="006E1C73" w:rsidP="0035498A">
      <w:pPr>
        <w:pStyle w:val="ListParagraph"/>
        <w:numPr>
          <w:ilvl w:val="0"/>
          <w:numId w:val="43"/>
        </w:numPr>
        <w:spacing w:before="0" w:after="100" w:afterAutospacing="1"/>
      </w:pPr>
      <w:r>
        <w:t xml:space="preserve">“Table Revision” was replaced with “Process.” </w:t>
      </w:r>
    </w:p>
    <w:p w14:paraId="64408AB0" w14:textId="2ADB429C" w:rsidR="007A1A57" w:rsidRDefault="007A1A57" w:rsidP="007A1A57">
      <w:pPr>
        <w:pStyle w:val="ListParagraph"/>
        <w:numPr>
          <w:ilvl w:val="0"/>
          <w:numId w:val="43"/>
        </w:numPr>
        <w:spacing w:before="0" w:after="100" w:afterAutospacing="1"/>
      </w:pPr>
      <w:r>
        <w:t>In Section 4.1. Applicability, the Posting One footnote was deleted eliminating a specified role of the Reliability Coordinator to request changes on behalf of others.</w:t>
      </w:r>
      <w:r w:rsidR="00216976">
        <w:t xml:space="preserve"> </w:t>
      </w:r>
    </w:p>
    <w:p w14:paraId="7E69772F" w14:textId="77777777" w:rsidR="006E1C73" w:rsidRDefault="006E1C73" w:rsidP="0035498A">
      <w:pPr>
        <w:pStyle w:val="ListParagraph"/>
        <w:numPr>
          <w:ilvl w:val="0"/>
          <w:numId w:val="43"/>
        </w:numPr>
        <w:spacing w:before="0" w:after="100" w:afterAutospacing="1"/>
      </w:pPr>
      <w:r>
        <w:t xml:space="preserve">In Section 5.2. Documents, </w:t>
      </w:r>
      <w:r w:rsidR="0035498A">
        <w:t>clarity was added by changing the sentence structure</w:t>
      </w:r>
      <w:r>
        <w:t>.</w:t>
      </w:r>
    </w:p>
    <w:p w14:paraId="18291629" w14:textId="3D0D455C" w:rsidR="0035498A" w:rsidRDefault="006E1C73" w:rsidP="0035498A">
      <w:pPr>
        <w:pStyle w:val="ListParagraph"/>
        <w:numPr>
          <w:ilvl w:val="0"/>
          <w:numId w:val="43"/>
        </w:numPr>
        <w:spacing w:before="0" w:after="100" w:afterAutospacing="1"/>
      </w:pPr>
      <w:r>
        <w:t xml:space="preserve">In Section 6. Effective Date, </w:t>
      </w:r>
      <w:r w:rsidR="0035498A">
        <w:t xml:space="preserve">“plus” </w:t>
      </w:r>
      <w:r>
        <w:t>was replaced with “</w:t>
      </w:r>
      <w:r w:rsidR="0035498A">
        <w:t>and</w:t>
      </w:r>
      <w:r w:rsidR="00216976">
        <w:t>.</w:t>
      </w:r>
      <w:r w:rsidR="0035498A">
        <w:t>”</w:t>
      </w:r>
    </w:p>
    <w:p w14:paraId="4A23FBFF" w14:textId="4BD71F36" w:rsidR="004A2CA6" w:rsidRDefault="007A1A57" w:rsidP="00762FE5">
      <w:pPr>
        <w:pStyle w:val="ListParagraph"/>
        <w:numPr>
          <w:ilvl w:val="0"/>
          <w:numId w:val="43"/>
        </w:numPr>
        <w:spacing w:before="0" w:after="100" w:afterAutospacing="1"/>
      </w:pPr>
      <w:r>
        <w:t xml:space="preserve">In Section </w:t>
      </w:r>
      <w:r w:rsidR="004A2CA6">
        <w:t xml:space="preserve">R1.1.5., clarity was added by changing the sentence and adding an explanatory footnote illustrating the detail of “description” the applicable entity should pursue. </w:t>
      </w:r>
    </w:p>
    <w:p w14:paraId="355680B8" w14:textId="0EE4DEC8" w:rsidR="00B2238A" w:rsidRDefault="00B2238A" w:rsidP="0035498A">
      <w:pPr>
        <w:pStyle w:val="ListParagraph"/>
        <w:numPr>
          <w:ilvl w:val="0"/>
          <w:numId w:val="43"/>
        </w:numPr>
        <w:spacing w:before="0" w:after="100" w:afterAutospacing="1"/>
      </w:pPr>
      <w:r>
        <w:t>In Section R3.1, “the” was added preceding “Procedures.”</w:t>
      </w:r>
    </w:p>
    <w:p w14:paraId="142B665C" w14:textId="1AB91244" w:rsidR="004A2CA6" w:rsidRDefault="00B2238A" w:rsidP="0035498A">
      <w:pPr>
        <w:pStyle w:val="ListParagraph"/>
        <w:numPr>
          <w:ilvl w:val="0"/>
          <w:numId w:val="43"/>
        </w:numPr>
        <w:spacing w:before="0" w:after="100" w:afterAutospacing="1"/>
      </w:pPr>
      <w:r>
        <w:t xml:space="preserve">In Section R4., </w:t>
      </w:r>
      <w:r w:rsidR="004A2CA6">
        <w:t>“complete” was inserted before “Requirement R1 technical study.”</w:t>
      </w:r>
    </w:p>
    <w:p w14:paraId="564AF886" w14:textId="48B05ACC" w:rsidR="004A2CA6" w:rsidRDefault="00B2238A" w:rsidP="0035498A">
      <w:pPr>
        <w:pStyle w:val="ListParagraph"/>
        <w:numPr>
          <w:ilvl w:val="0"/>
          <w:numId w:val="43"/>
        </w:numPr>
        <w:spacing w:before="0" w:after="100" w:afterAutospacing="1"/>
      </w:pPr>
      <w:r>
        <w:t xml:space="preserve">In Section R4.1., </w:t>
      </w:r>
      <w:r w:rsidR="004A2CA6">
        <w:t xml:space="preserve">“…for the information” was added as a suffix to the sentence. </w:t>
      </w:r>
    </w:p>
    <w:p w14:paraId="56D8C3EA" w14:textId="085DB93C" w:rsidR="00B2238A" w:rsidRDefault="00B2238A" w:rsidP="0035498A">
      <w:pPr>
        <w:pStyle w:val="ListParagraph"/>
        <w:numPr>
          <w:ilvl w:val="0"/>
          <w:numId w:val="43"/>
        </w:numPr>
        <w:spacing w:before="0" w:after="100" w:afterAutospacing="1"/>
      </w:pPr>
      <w:r>
        <w:t>In Section 4.2., a footnote was added to indicate RRC “or its successor.”</w:t>
      </w:r>
    </w:p>
    <w:p w14:paraId="0E97F1F7" w14:textId="0864C418" w:rsidR="00B2238A" w:rsidRDefault="00B2238A" w:rsidP="0035498A">
      <w:pPr>
        <w:pStyle w:val="ListParagraph"/>
        <w:numPr>
          <w:ilvl w:val="0"/>
          <w:numId w:val="43"/>
        </w:numPr>
        <w:spacing w:before="0" w:after="100" w:afterAutospacing="1"/>
      </w:pPr>
      <w:r>
        <w:t xml:space="preserve">In Section R9.1.1., “or the chair’s designee” was added. </w:t>
      </w:r>
    </w:p>
    <w:p w14:paraId="1CC37316" w14:textId="0A1E4D9D" w:rsidR="00B2238A" w:rsidRDefault="00B2238A" w:rsidP="0035498A">
      <w:pPr>
        <w:pStyle w:val="ListParagraph"/>
        <w:numPr>
          <w:ilvl w:val="0"/>
          <w:numId w:val="43"/>
        </w:numPr>
        <w:spacing w:before="0" w:after="100" w:afterAutospacing="1"/>
      </w:pPr>
      <w:r>
        <w:t xml:space="preserve">In Section R9.2.1., “chair” was deleted. </w:t>
      </w:r>
    </w:p>
    <w:p w14:paraId="66DE46AA" w14:textId="6771C4FF" w:rsidR="0035498A" w:rsidRDefault="00B2238A" w:rsidP="0035498A">
      <w:pPr>
        <w:pStyle w:val="ListParagraph"/>
        <w:numPr>
          <w:ilvl w:val="0"/>
          <w:numId w:val="43"/>
        </w:numPr>
        <w:spacing w:before="0" w:after="100" w:afterAutospacing="1"/>
      </w:pPr>
      <w:r>
        <w:t xml:space="preserve">In Section C. Required Approvals, </w:t>
      </w:r>
      <w:r w:rsidR="004A2CA6">
        <w:t xml:space="preserve">a sentence was added </w:t>
      </w:r>
      <w:r w:rsidR="002431E3">
        <w:t>designating the WECC Standards Committee as the document custodian.</w:t>
      </w:r>
      <w:r w:rsidR="00216976">
        <w:t xml:space="preserve"> </w:t>
      </w:r>
    </w:p>
    <w:p w14:paraId="3BC3112A" w14:textId="2F79F8FC" w:rsidR="002431E3" w:rsidRPr="0035498A" w:rsidRDefault="002431E3" w:rsidP="0035498A">
      <w:pPr>
        <w:pStyle w:val="ListParagraph"/>
        <w:numPr>
          <w:ilvl w:val="0"/>
          <w:numId w:val="43"/>
        </w:numPr>
        <w:spacing w:before="0" w:after="100" w:afterAutospacing="1"/>
      </w:pPr>
      <w:r>
        <w:t xml:space="preserve">In Section </w:t>
      </w:r>
      <w:r w:rsidRPr="002431E3">
        <w:t>D.</w:t>
      </w:r>
      <w:r>
        <w:t xml:space="preserve"> </w:t>
      </w:r>
      <w:r w:rsidRPr="002431E3">
        <w:t>Background and Guidance Section</w:t>
      </w:r>
      <w:r>
        <w:t xml:space="preserve">, at Posting </w:t>
      </w:r>
      <w:r w:rsidR="00216976">
        <w:t>2</w:t>
      </w:r>
      <w:r>
        <w:t xml:space="preserve"> footnote 7, “Standard” was capitalized.</w:t>
      </w:r>
    </w:p>
    <w:p w14:paraId="09695891" w14:textId="33A998B0" w:rsidR="0053685B" w:rsidRPr="006501CE" w:rsidRDefault="0053685B" w:rsidP="0053685B">
      <w:pPr>
        <w:pStyle w:val="Heading2"/>
      </w:pPr>
      <w:r w:rsidRPr="006501CE">
        <w:t>Minority View</w:t>
      </w:r>
    </w:p>
    <w:p w14:paraId="37DDD66E" w14:textId="2630CE75" w:rsidR="003C47B7" w:rsidRDefault="000C22A2" w:rsidP="008B6516">
      <w:r>
        <w:t>Requested c</w:t>
      </w:r>
      <w:r w:rsidR="003C47B7">
        <w:t>hanges were not made to the preamble as that section is informative only, to be used as part of the NERC filing if the project is approved.</w:t>
      </w:r>
    </w:p>
    <w:p w14:paraId="5569E816" w14:textId="0F3C3651" w:rsidR="003C47B7" w:rsidRDefault="003C47B7" w:rsidP="008B6516">
      <w:r>
        <w:t>Reclamation suggested that the word “shall” was misused.</w:t>
      </w:r>
      <w:r w:rsidR="00216976">
        <w:t xml:space="preserve"> </w:t>
      </w:r>
      <w:r>
        <w:t>However, since Reclamation offered no alternative drafting convention</w:t>
      </w:r>
      <w:r w:rsidR="00216976">
        <w:t>,</w:t>
      </w:r>
      <w:r>
        <w:t xml:space="preserve"> nor did Reclamation identify any specific misuse, no change was made. </w:t>
      </w:r>
    </w:p>
    <w:p w14:paraId="426DFFD1" w14:textId="77777777" w:rsidR="000F5D12" w:rsidRDefault="000F5D12" w:rsidP="008B6516"/>
    <w:p w14:paraId="299C4B55" w14:textId="77777777" w:rsidR="000F5D12" w:rsidRDefault="000F5D12" w:rsidP="008B6516"/>
    <w:p w14:paraId="3EAC209E" w14:textId="4A0564EE" w:rsidR="000F5D12" w:rsidRDefault="000F5D12" w:rsidP="008B6516">
      <w:r>
        <w:t>Use of the phrase “Requesting Entity” was retained.</w:t>
      </w:r>
      <w:r w:rsidR="00216976">
        <w:t xml:space="preserve"> </w:t>
      </w:r>
      <w:r>
        <w:t>The DT concluded that even though RE is an abbreviation used variously in multiple documents, its use is clearly defined in the four corners of the Process</w:t>
      </w:r>
      <w:r w:rsidR="00216976">
        <w:t>—</w:t>
      </w:r>
      <w:r>
        <w:t>thereby avoiding confusion.</w:t>
      </w:r>
    </w:p>
    <w:p w14:paraId="31782DB4" w14:textId="2AF623E1" w:rsidR="003C47B7" w:rsidRDefault="003C47B7" w:rsidP="008B6516">
      <w:r>
        <w:t>The use of the word “requirements” was retained because the steps of the process are required to implement changes to the Table.</w:t>
      </w:r>
      <w:r w:rsidR="00216976">
        <w:t xml:space="preserve"> </w:t>
      </w:r>
      <w:r>
        <w:t>The proposed requirements are not suggestions</w:t>
      </w:r>
      <w:r w:rsidR="00216976">
        <w:t>,</w:t>
      </w:r>
      <w:r w:rsidR="000F7B31">
        <w:t xml:space="preserve"> nor are they voluntary as is the case for the WECC Path Rating Catalogue</w:t>
      </w:r>
      <w:r>
        <w:t>.</w:t>
      </w:r>
      <w:r w:rsidR="003E7DCF">
        <w:t xml:space="preserve"> </w:t>
      </w:r>
    </w:p>
    <w:p w14:paraId="5092A1A5" w14:textId="531C3691" w:rsidR="003E7DCF" w:rsidRDefault="003E7DCF" w:rsidP="008B6516">
      <w:r>
        <w:t xml:space="preserve">Definitions for </w:t>
      </w:r>
      <w:r w:rsidRPr="002271E7">
        <w:rPr>
          <w:i/>
          <w:iCs/>
        </w:rPr>
        <w:t>generic</w:t>
      </w:r>
      <w:r>
        <w:t xml:space="preserve">, </w:t>
      </w:r>
      <w:r w:rsidRPr="002271E7">
        <w:rPr>
          <w:i/>
          <w:iCs/>
        </w:rPr>
        <w:t>specific</w:t>
      </w:r>
      <w:r>
        <w:t xml:space="preserve">, </w:t>
      </w:r>
      <w:r w:rsidRPr="002271E7">
        <w:rPr>
          <w:i/>
          <w:iCs/>
        </w:rPr>
        <w:t>procedural</w:t>
      </w:r>
      <w:r>
        <w:t xml:space="preserve">, and </w:t>
      </w:r>
      <w:r w:rsidRPr="002271E7">
        <w:rPr>
          <w:i/>
          <w:iCs/>
        </w:rPr>
        <w:t>substantive</w:t>
      </w:r>
      <w:r>
        <w:t xml:space="preserve"> were not created.</w:t>
      </w:r>
      <w:r w:rsidR="00216976">
        <w:t xml:space="preserve"> </w:t>
      </w:r>
      <w:r>
        <w:t xml:space="preserve">Rather, the common definition for these terms is sufficient. </w:t>
      </w:r>
    </w:p>
    <w:p w14:paraId="2A05EF9D" w14:textId="23CBDFCD" w:rsidR="003E7DCF" w:rsidRDefault="003E7DCF" w:rsidP="008B6516">
      <w:r>
        <w:t>Changes that would create a single list of paths in all documents were not made</w:t>
      </w:r>
      <w:r w:rsidR="00216976">
        <w:t>,</w:t>
      </w:r>
      <w:r>
        <w:t xml:space="preserve"> as doing so requires changes to the WECC Path Rating Catalogue</w:t>
      </w:r>
      <w:r w:rsidR="00216976">
        <w:t>,</w:t>
      </w:r>
      <w:r>
        <w:t xml:space="preserve"> which is outside of the scope of this project. </w:t>
      </w:r>
    </w:p>
    <w:p w14:paraId="4368A7CD" w14:textId="77777777" w:rsidR="0053685B" w:rsidRDefault="0053685B" w:rsidP="0053685B">
      <w:pPr>
        <w:pStyle w:val="Heading2"/>
      </w:pPr>
      <w:r>
        <w:t>Proposed Effective Date</w:t>
      </w:r>
    </w:p>
    <w:p w14:paraId="6765E5D9" w14:textId="77777777" w:rsidR="007C2E8E" w:rsidRDefault="007C2E8E" w:rsidP="0053685B">
      <w:pPr>
        <w:pStyle w:val="Heading2"/>
        <w:rPr>
          <w:rFonts w:ascii="Palatino Linotype" w:hAnsi="Palatino Linotype"/>
          <w:b w:val="0"/>
          <w:sz w:val="22"/>
        </w:rPr>
      </w:pPr>
      <w:r w:rsidRPr="007C2E8E">
        <w:rPr>
          <w:rFonts w:ascii="Palatino Linotype" w:hAnsi="Palatino Linotype"/>
          <w:b w:val="0"/>
          <w:sz w:val="22"/>
        </w:rPr>
        <w:t>The first day of the second quarter following regulatory approval of FAC-501-WECC-4, Transmission Maintenance and approval of the Table Revision Process.</w:t>
      </w:r>
    </w:p>
    <w:p w14:paraId="3917EE5E" w14:textId="173BACEE" w:rsidR="0053685B" w:rsidRDefault="0053685B" w:rsidP="0053685B">
      <w:pPr>
        <w:pStyle w:val="Heading2"/>
      </w:pPr>
      <w:r>
        <w:t>Justification</w:t>
      </w:r>
    </w:p>
    <w:bookmarkEnd w:id="0"/>
    <w:p w14:paraId="2B4A8C19" w14:textId="184C71BB" w:rsidR="004D30E6" w:rsidRPr="004D30E6" w:rsidRDefault="004D30E6" w:rsidP="0094025E">
      <w:pPr>
        <w:rPr>
          <w:rFonts w:eastAsia="Palatino Linotype" w:cs="Times New Roman"/>
        </w:rPr>
      </w:pPr>
      <w:r w:rsidRPr="004D30E6">
        <w:rPr>
          <w:rFonts w:eastAsia="Palatino Linotype" w:cs="Times New Roman"/>
        </w:rPr>
        <w:t xml:space="preserve">As required by the WECC Reliability Standards Development Procedures (Procedures), an implementation plan was posted with Posting </w:t>
      </w:r>
      <w:r w:rsidR="00216976">
        <w:rPr>
          <w:rFonts w:eastAsia="Palatino Linotype" w:cs="Times New Roman"/>
        </w:rPr>
        <w:t>1</w:t>
      </w:r>
      <w:r w:rsidRPr="004D30E6">
        <w:rPr>
          <w:rFonts w:eastAsia="Palatino Linotype" w:cs="Times New Roman"/>
        </w:rPr>
        <w:t>.</w:t>
      </w:r>
      <w:r w:rsidR="00216976">
        <w:rPr>
          <w:rFonts w:eastAsia="Palatino Linotype" w:cs="Times New Roman"/>
        </w:rPr>
        <w:t xml:space="preserve"> </w:t>
      </w:r>
      <w:r w:rsidRPr="004D30E6">
        <w:rPr>
          <w:rFonts w:eastAsia="Palatino Linotype" w:cs="Times New Roman"/>
        </w:rPr>
        <w:t xml:space="preserve">Details can be reviewed on the </w:t>
      </w:r>
      <w:r>
        <w:rPr>
          <w:rFonts w:eastAsia="Palatino Linotype" w:cs="Times New Roman"/>
        </w:rPr>
        <w:t xml:space="preserve">WECC-0149 </w:t>
      </w:r>
      <w:r w:rsidRPr="004D30E6">
        <w:rPr>
          <w:rFonts w:eastAsia="Palatino Linotype" w:cs="Times New Roman"/>
        </w:rPr>
        <w:t xml:space="preserve">project page on the Posting 1 for Comment accordion. </w:t>
      </w:r>
    </w:p>
    <w:p w14:paraId="4FD1B975" w14:textId="77777777" w:rsidR="000C22A2" w:rsidRDefault="004D30E6" w:rsidP="0094025E">
      <w:pPr>
        <w:rPr>
          <w:rFonts w:eastAsia="Palatino Linotype" w:cs="Times New Roman"/>
        </w:rPr>
      </w:pPr>
      <w:r w:rsidRPr="004D30E6">
        <w:rPr>
          <w:rFonts w:eastAsia="Palatino Linotype" w:cs="Times New Roman"/>
        </w:rPr>
        <w:t xml:space="preserve">No comments were received addressing </w:t>
      </w:r>
      <w:r w:rsidR="000C22A2">
        <w:rPr>
          <w:rFonts w:eastAsia="Palatino Linotype" w:cs="Times New Roman"/>
        </w:rPr>
        <w:t xml:space="preserve">either the Standard or the Implementation Plan. </w:t>
      </w:r>
    </w:p>
    <w:p w14:paraId="02BC1AAF" w14:textId="60351844"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A27E3A">
        <w:rPr>
          <w:rFonts w:ascii="Lucida Sans" w:eastAsia="Palatino Linotype" w:hAnsi="Lucida Sans" w:cs="Times New Roman"/>
          <w:b/>
          <w:sz w:val="24"/>
        </w:rPr>
        <w:t xml:space="preserve">WECC </w:t>
      </w:r>
      <w:r w:rsidR="007C2E8E">
        <w:rPr>
          <w:rFonts w:ascii="Lucida Sans" w:eastAsia="Palatino Linotype" w:hAnsi="Lucida Sans" w:cs="Times New Roman"/>
          <w:b/>
          <w:sz w:val="24"/>
        </w:rPr>
        <w:t>Documents</w:t>
      </w:r>
    </w:p>
    <w:p w14:paraId="7540AB97" w14:textId="5F765CA7" w:rsidR="004D30E6" w:rsidRPr="004D30E6" w:rsidRDefault="003E7DCF" w:rsidP="0094025E">
      <w:pPr>
        <w:rPr>
          <w:rFonts w:eastAsia="Palatino Linotype" w:cs="Times New Roman"/>
        </w:rPr>
      </w:pPr>
      <w:r w:rsidRPr="004D30E6">
        <w:rPr>
          <w:rFonts w:eastAsia="Palatino Linotype" w:cs="Times New Roman"/>
        </w:rPr>
        <w:t xml:space="preserve">Please see </w:t>
      </w:r>
      <w:r w:rsidR="004D30E6" w:rsidRPr="004D30E6">
        <w:rPr>
          <w:rFonts w:eastAsia="Palatino Linotype" w:cs="Times New Roman"/>
        </w:rPr>
        <w:t xml:space="preserve">Posting 1, </w:t>
      </w:r>
      <w:r w:rsidR="004D30E6">
        <w:rPr>
          <w:rFonts w:eastAsia="Palatino Linotype" w:cs="Times New Roman"/>
        </w:rPr>
        <w:t xml:space="preserve">Section </w:t>
      </w:r>
      <w:r w:rsidR="004D30E6" w:rsidRPr="004D30E6">
        <w:rPr>
          <w:rFonts w:eastAsia="Palatino Linotype" w:cs="Times New Roman"/>
        </w:rPr>
        <w:t xml:space="preserve">5.2 </w:t>
      </w:r>
      <w:r w:rsidRPr="004D30E6">
        <w:rPr>
          <w:rFonts w:eastAsia="Palatino Linotype" w:cs="Times New Roman"/>
        </w:rPr>
        <w:t xml:space="preserve">for information regarding </w:t>
      </w:r>
      <w:r w:rsidR="004D30E6" w:rsidRPr="004D30E6">
        <w:rPr>
          <w:rFonts w:eastAsia="Palatino Linotype" w:cs="Times New Roman"/>
        </w:rPr>
        <w:t>other documents impacted by this project.</w:t>
      </w:r>
      <w:r w:rsidR="00216976">
        <w:rPr>
          <w:rFonts w:eastAsia="Palatino Linotype" w:cs="Times New Roman"/>
        </w:rPr>
        <w:t xml:space="preserve"> </w:t>
      </w:r>
      <w:r w:rsidR="004D30E6" w:rsidRPr="004D30E6">
        <w:rPr>
          <w:rFonts w:eastAsia="Palatino Linotype" w:cs="Times New Roman"/>
        </w:rPr>
        <w:t xml:space="preserve">They are specified as: </w:t>
      </w:r>
    </w:p>
    <w:p w14:paraId="4D03B27F" w14:textId="77777777" w:rsidR="004D30E6" w:rsidRPr="000D3E2E" w:rsidRDefault="004D30E6" w:rsidP="002271E7">
      <w:pPr>
        <w:pStyle w:val="ListParagraph"/>
        <w:ind w:left="720"/>
      </w:pPr>
      <w:bookmarkStart w:id="2" w:name="_Hlk108519517"/>
      <w:r w:rsidRPr="000D3E2E">
        <w:t>FAC-003-4, Transmission Vegetation Management referencing the “Major WECC Transfer Path in the Bulk Electric System by WECC”;</w:t>
      </w:r>
    </w:p>
    <w:p w14:paraId="21E388AE" w14:textId="1407E5DB" w:rsidR="004D30E6" w:rsidRPr="000D3E2E" w:rsidRDefault="004D30E6" w:rsidP="002271E7">
      <w:pPr>
        <w:pStyle w:val="ListParagraph"/>
        <w:ind w:left="720"/>
      </w:pPr>
      <w:r w:rsidRPr="000D3E2E">
        <w:t>FAC-501-WECC-4, Transmission Maintenance referencing the “Major</w:t>
      </w:r>
      <w:r w:rsidR="00216976" w:rsidRPr="000D3E2E">
        <w:t xml:space="preserve"> </w:t>
      </w:r>
      <w:r w:rsidRPr="000D3E2E">
        <w:t>WECC Transfer Paths in the Bulk Electric System (Table).”</w:t>
      </w:r>
    </w:p>
    <w:p w14:paraId="30FF4D2F" w14:textId="24E43117" w:rsidR="004D30E6" w:rsidRPr="000D3E2E" w:rsidRDefault="004D30E6" w:rsidP="002271E7">
      <w:pPr>
        <w:pStyle w:val="ListParagraph"/>
        <w:ind w:left="720"/>
      </w:pPr>
      <w:r w:rsidRPr="000D3E2E">
        <w:t>PRC-023-4, Transmission Relay Loadability referencing a “major transfer path within the Western Interconnection as defined by the Regional Entity”; and,</w:t>
      </w:r>
      <w:r w:rsidR="00216976" w:rsidRPr="000D3E2E">
        <w:t xml:space="preserve"> </w:t>
      </w:r>
    </w:p>
    <w:p w14:paraId="60B530C9" w14:textId="4F7E0361" w:rsidR="007C2E8E" w:rsidRPr="002271E7" w:rsidRDefault="004D30E6" w:rsidP="002271E7">
      <w:pPr>
        <w:pStyle w:val="ListParagraph"/>
        <w:ind w:left="720"/>
      </w:pPr>
      <w:r w:rsidRPr="000D3E2E">
        <w:t>The NERC Glossary of Terms Used in Reliability Standards referencing a “major transfer path within the Western Interconnection.”</w:t>
      </w:r>
      <w:bookmarkEnd w:id="2"/>
    </w:p>
    <w:p w14:paraId="2885BB72" w14:textId="77777777" w:rsidR="0053685B" w:rsidRDefault="0053685B" w:rsidP="0053685B">
      <w:pPr>
        <w:pStyle w:val="Heading2"/>
      </w:pPr>
      <w:r>
        <w:t>Action Plan</w:t>
      </w:r>
      <w:r w:rsidR="008446F5">
        <w:t xml:space="preserve"> </w:t>
      </w:r>
    </w:p>
    <w:p w14:paraId="4DDA33BE" w14:textId="77777777" w:rsidR="000C22A2" w:rsidRPr="00735DF8" w:rsidRDefault="000C22A2" w:rsidP="00EA0066">
      <w:pPr>
        <w:pStyle w:val="Normal2"/>
        <w:ind w:left="0"/>
      </w:pPr>
      <w:r w:rsidRPr="00735DF8">
        <w:t xml:space="preserve">On August 23, 2022, the </w:t>
      </w:r>
      <w:r w:rsidR="00641123" w:rsidRPr="00735DF8">
        <w:t xml:space="preserve">WECC-0149 Table Revision Process Drafting Team (DT) </w:t>
      </w:r>
      <w:r w:rsidR="0068547F" w:rsidRPr="00735DF8">
        <w:t xml:space="preserve">agreed </w:t>
      </w:r>
      <w:r w:rsidR="00641123" w:rsidRPr="00735DF8">
        <w:t xml:space="preserve">by majority vote </w:t>
      </w:r>
      <w:r w:rsidRPr="00735DF8">
        <w:t xml:space="preserve">of those present to hold a DT-specific ballot asking whether the project should be posted (Posting 2) for 30-day comment. </w:t>
      </w:r>
    </w:p>
    <w:p w14:paraId="3FAAF403" w14:textId="5B5DA1FA" w:rsidR="000C22A2" w:rsidRPr="00735DF8" w:rsidRDefault="000F7B31" w:rsidP="00EA0066">
      <w:pPr>
        <w:pStyle w:val="Normal2"/>
        <w:ind w:left="0"/>
      </w:pPr>
      <w:r>
        <w:t xml:space="preserve">Although the ballot was set to close no later than </w:t>
      </w:r>
      <w:r w:rsidR="000C22A2" w:rsidRPr="00735DF8">
        <w:t>noon (Mountain) on September 2, 2022</w:t>
      </w:r>
      <w:r>
        <w:t xml:space="preserve">, on August 29, 2022, </w:t>
      </w:r>
      <w:r w:rsidR="00C87CDB">
        <w:t xml:space="preserve">an outcome determinative majority vote was reached. </w:t>
      </w:r>
    </w:p>
    <w:p w14:paraId="293F1EE8" w14:textId="2996C97C" w:rsidR="00735DF8" w:rsidRPr="00735DF8" w:rsidRDefault="00735DF8" w:rsidP="00EA0066">
      <w:pPr>
        <w:pStyle w:val="Normal2"/>
        <w:ind w:left="0"/>
        <w:rPr>
          <w:i/>
          <w:iCs/>
        </w:rPr>
      </w:pPr>
      <w:r w:rsidRPr="00735DF8">
        <w:rPr>
          <w:i/>
          <w:iCs/>
        </w:rPr>
        <w:t>Subsequent Entry:</w:t>
      </w:r>
    </w:p>
    <w:p w14:paraId="41C1948A" w14:textId="7C9034DB" w:rsidR="00735DF8" w:rsidRDefault="00735DF8" w:rsidP="00EA0066">
      <w:pPr>
        <w:pStyle w:val="Normal2"/>
        <w:ind w:left="0"/>
      </w:pPr>
      <w:r w:rsidRPr="00735DF8">
        <w:t xml:space="preserve">On </w:t>
      </w:r>
      <w:r w:rsidR="000F7B31">
        <w:t xml:space="preserve">August </w:t>
      </w:r>
      <w:r w:rsidR="00C87CDB">
        <w:t>29</w:t>
      </w:r>
      <w:r w:rsidR="000F7B31">
        <w:t xml:space="preserve">, 2022, </w:t>
      </w:r>
      <w:r w:rsidRPr="00735DF8">
        <w:t>the WECC-0149 Table Revision Process Drafting Team (DT) agreed by majority</w:t>
      </w:r>
      <w:r>
        <w:t xml:space="preserve"> vote to post WECC-0149, Posting Two for a 30-day comment period.</w:t>
      </w:r>
      <w:r w:rsidR="00216976">
        <w:t xml:space="preserve"> </w:t>
      </w:r>
    </w:p>
    <w:p w14:paraId="459A0437" w14:textId="57498D65" w:rsidR="00735DF8" w:rsidRDefault="00735DF8" w:rsidP="00EA0066">
      <w:pPr>
        <w:pStyle w:val="Normal2"/>
        <w:ind w:left="0"/>
      </w:pPr>
      <w:r>
        <w:t>Posting 2 will open September 8, 2022, and close October 10, 2022.</w:t>
      </w:r>
      <w:r w:rsidR="00216976">
        <w:t xml:space="preserve"> </w:t>
      </w:r>
      <w:r w:rsidR="00336765">
        <w:t>The DT will meet on October 18, 2022, and October 25, 2022, to consider comments.</w:t>
      </w:r>
    </w:p>
    <w:p w14:paraId="584F08D9" w14:textId="3EC13AC0" w:rsidR="00336765" w:rsidRDefault="00336765" w:rsidP="00EA0066">
      <w:pPr>
        <w:pStyle w:val="Normal2"/>
        <w:ind w:left="0"/>
      </w:pPr>
      <w:r>
        <w:t xml:space="preserve">Comments can be submitted by selecting the Submit and Review Comments accordion on the </w:t>
      </w:r>
      <w:hyperlink r:id="rId13" w:history="1">
        <w:r>
          <w:rPr>
            <w:rStyle w:val="Hyperlink"/>
          </w:rPr>
          <w:t>WECC-0149</w:t>
        </w:r>
      </w:hyperlink>
      <w:r>
        <w:t xml:space="preserve"> </w:t>
      </w:r>
      <w:r w:rsidR="008C6B3F">
        <w:t>h</w:t>
      </w:r>
      <w:r>
        <w:t>ome</w:t>
      </w:r>
      <w:r w:rsidR="008C6B3F">
        <w:t>p</w:t>
      </w:r>
      <w:r>
        <w:t>age.</w:t>
      </w:r>
      <w:r w:rsidR="00216976">
        <w:t xml:space="preserve"> </w:t>
      </w:r>
      <w:r>
        <w:t xml:space="preserve">Then, click Submit Responses to Posting 2. </w:t>
      </w:r>
    </w:p>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4"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2804E5" w14:paraId="06B41E3F"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241CFB61" w14:textId="3CF83B51" w:rsidR="002804E5" w:rsidRDefault="007C2E8E" w:rsidP="007511E4">
            <w:r w:rsidRPr="007C2E8E">
              <w:t xml:space="preserve">​​Richard Jackson </w:t>
            </w:r>
          </w:p>
        </w:tc>
        <w:tc>
          <w:tcPr>
            <w:tcW w:w="6385" w:type="dxa"/>
          </w:tcPr>
          <w:p w14:paraId="06E47DA0" w14:textId="4C554AA1" w:rsidR="002804E5" w:rsidRDefault="007C2E8E" w:rsidP="007511E4">
            <w:pPr>
              <w:cnfStyle w:val="000000100000" w:firstRow="0" w:lastRow="0" w:firstColumn="0" w:lastColumn="0" w:oddVBand="0" w:evenVBand="0" w:oddHBand="1" w:evenHBand="0" w:firstRowFirstColumn="0" w:firstRowLastColumn="0" w:lastRowFirstColumn="0" w:lastRowLastColumn="0"/>
            </w:pPr>
            <w:r w:rsidRPr="007C2E8E">
              <w:t>U</w:t>
            </w:r>
            <w:r w:rsidR="008C6B3F">
              <w:t>.</w:t>
            </w:r>
            <w:r w:rsidRPr="007C2E8E">
              <w:t>S</w:t>
            </w:r>
            <w:r w:rsidR="008C6B3F">
              <w:t>.</w:t>
            </w:r>
            <w:r w:rsidRPr="007C2E8E">
              <w:t xml:space="preserve"> Bureau of Reclamation</w:t>
            </w:r>
            <w:r w:rsidR="00207C13">
              <w:t xml:space="preserve"> (Reclamation)</w:t>
            </w:r>
          </w:p>
        </w:tc>
      </w:tr>
      <w:tr w:rsidR="00207C13" w14:paraId="10A16157" w14:textId="77777777" w:rsidTr="008E2D28">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25D3012D" w14:textId="451A71DC" w:rsidR="00207C13" w:rsidRPr="007C2E8E" w:rsidRDefault="00207C13" w:rsidP="007511E4">
            <w:r>
              <w:t>Cain Braveheart (On behalf of)</w:t>
            </w:r>
          </w:p>
        </w:tc>
        <w:tc>
          <w:tcPr>
            <w:tcW w:w="6385" w:type="dxa"/>
          </w:tcPr>
          <w:p w14:paraId="2AE0E441" w14:textId="5927ED6F" w:rsidR="00207C13" w:rsidRPr="007C2E8E" w:rsidRDefault="00207C13" w:rsidP="007511E4">
            <w:pPr>
              <w:cnfStyle w:val="000000000000" w:firstRow="0" w:lastRow="0" w:firstColumn="0" w:lastColumn="0" w:oddVBand="0" w:evenVBand="0" w:oddHBand="0" w:evenHBand="0" w:firstRowFirstColumn="0" w:firstRowLastColumn="0" w:lastRowFirstColumn="0" w:lastRowLastColumn="0"/>
            </w:pPr>
            <w:r>
              <w:t>Bonneville Power Administration (BPA)</w:t>
            </w:r>
          </w:p>
        </w:tc>
      </w:tr>
    </w:tbl>
    <w:p w14:paraId="5FABB633" w14:textId="77777777" w:rsidR="00FD2BC8" w:rsidRDefault="00FD2BC8"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p>
    <w:p w14:paraId="2D89C49E" w14:textId="735E89C6" w:rsidR="00FD2BC8" w:rsidRDefault="00FD2BC8">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5979B7B7"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4057FDCA" w:rsidR="005B679F" w:rsidRPr="005B679F" w:rsidRDefault="009D2CEE" w:rsidP="005B679F">
      <w:pPr>
        <w:numPr>
          <w:ilvl w:val="0"/>
          <w:numId w:val="11"/>
        </w:numPr>
        <w:suppressAutoHyphens/>
        <w:spacing w:before="120"/>
        <w:ind w:left="360"/>
        <w:contextualSpacing/>
        <w:rPr>
          <w:b/>
        </w:rPr>
      </w:pPr>
      <w:r>
        <w:rPr>
          <w:b/>
        </w:rPr>
        <w:t xml:space="preserve">The drafting team invited comments on all aspects of the document. </w:t>
      </w:r>
    </w:p>
    <w:tbl>
      <w:tblPr>
        <w:tblStyle w:val="WECCTable1"/>
        <w:tblW w:w="10080" w:type="dxa"/>
        <w:tblLook w:val="04A0" w:firstRow="1" w:lastRow="0" w:firstColumn="1" w:lastColumn="0" w:noHBand="0" w:noVBand="1"/>
      </w:tblPr>
      <w:tblGrid>
        <w:gridCol w:w="5988"/>
        <w:gridCol w:w="4092"/>
      </w:tblGrid>
      <w:tr w:rsidR="005B679F" w:rsidRPr="005B679F" w14:paraId="1C194E22" w14:textId="77777777" w:rsidTr="002271E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0" w:type="dxa"/>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2271E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22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4E090E3" w14:textId="49980670" w:rsidR="005B679F" w:rsidRPr="005B679F" w:rsidRDefault="009D2CEE" w:rsidP="009F163A">
            <w:pPr>
              <w:spacing w:line="240" w:lineRule="auto"/>
              <w:contextualSpacing/>
              <w:rPr>
                <w:bCs w:val="0"/>
              </w:rPr>
            </w:pPr>
            <w:bookmarkStart w:id="3" w:name="_Hlk85536468"/>
            <w:bookmarkStart w:id="4" w:name="_Hlk111814452"/>
            <w:r>
              <w:rPr>
                <w:bCs w:val="0"/>
              </w:rPr>
              <w:t>Reclamation</w:t>
            </w:r>
          </w:p>
        </w:tc>
        <w:tc>
          <w:tcPr>
            <w:tcW w:w="0" w:type="dxa"/>
            <w:tcBorders>
              <w:bottom w:val="single" w:sz="4" w:space="0" w:color="auto"/>
            </w:tcBorders>
          </w:tcPr>
          <w:p w14:paraId="7E0B8C28" w14:textId="354677AB" w:rsidR="005B679F" w:rsidRPr="005B679F" w:rsidRDefault="009D2CEE" w:rsidP="009D2CEE">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​Reclamation will email Shannon Black our comments for the team's consideration.</w:t>
            </w:r>
          </w:p>
        </w:tc>
      </w:tr>
      <w:bookmarkEnd w:id="3"/>
      <w:tr w:rsidR="007A400F" w:rsidRPr="005B679F" w14:paraId="172B6C22" w14:textId="77777777" w:rsidTr="002271E7">
        <w:tc>
          <w:tcPr>
            <w:cnfStyle w:val="001000000000" w:firstRow="0" w:lastRow="0" w:firstColumn="1" w:lastColumn="0" w:oddVBand="0" w:evenVBand="0" w:oddHBand="0" w:evenHBand="0" w:firstRowFirstColumn="0" w:firstRowLastColumn="0" w:lastRowFirstColumn="0" w:lastRowLastColumn="0"/>
            <w:tcW w:w="0" w:type="dxa"/>
            <w:gridSpan w:val="2"/>
            <w:tcBorders>
              <w:right w:val="single" w:sz="4" w:space="0" w:color="auto"/>
            </w:tcBorders>
          </w:tcPr>
          <w:p w14:paraId="795B7C52" w14:textId="152FC740" w:rsidR="009D2CEE" w:rsidRPr="002271E7" w:rsidRDefault="009D2CEE" w:rsidP="00BA599F">
            <w:pPr>
              <w:shd w:val="clear" w:color="auto" w:fill="FFFFFF"/>
              <w:spacing w:after="120"/>
              <w:ind w:left="68"/>
              <w:rPr>
                <w:bCs w:val="0"/>
                <w:i/>
                <w:iCs/>
                <w:color w:val="0070C0"/>
              </w:rPr>
            </w:pPr>
            <w:r w:rsidRPr="002271E7">
              <w:rPr>
                <w:i/>
                <w:iCs/>
                <w:color w:val="0070C0"/>
              </w:rPr>
              <w:t xml:space="preserve">The following was taken from an email attachment provided to W. Shannon Black, WECC </w:t>
            </w:r>
            <w:r w:rsidR="00202A82" w:rsidRPr="002271E7">
              <w:rPr>
                <w:i/>
                <w:iCs/>
                <w:color w:val="0070C0"/>
              </w:rPr>
              <w:t xml:space="preserve">Consultant, Standards Processes, </w:t>
            </w:r>
            <w:r w:rsidRPr="002271E7">
              <w:rPr>
                <w:i/>
                <w:iCs/>
                <w:color w:val="0070C0"/>
              </w:rPr>
              <w:t>at 10:24 a.m. (Pacific) on August 18, 2022.</w:t>
            </w:r>
          </w:p>
          <w:p w14:paraId="5782561D" w14:textId="0863629B" w:rsidR="009D2CEE" w:rsidRPr="002A1821" w:rsidRDefault="009D2CEE" w:rsidP="00BA599F">
            <w:pPr>
              <w:shd w:val="clear" w:color="auto" w:fill="FFFFFF"/>
              <w:spacing w:after="120"/>
              <w:ind w:left="68"/>
              <w:rPr>
                <w:color w:val="0070C0"/>
              </w:rPr>
            </w:pPr>
            <w:r w:rsidRPr="002A1821">
              <w:rPr>
                <w:color w:val="0070C0"/>
              </w:rPr>
              <w:t>The DT appreciates Reclamation’s continued involvement in the Standards development process</w:t>
            </w:r>
            <w:r w:rsidR="00C87CDB">
              <w:rPr>
                <w:color w:val="0070C0"/>
              </w:rPr>
              <w:t xml:space="preserve"> and encourages Reclamation to use the provided web portal to ensure Reclamation’s valued comments are neither overlooked </w:t>
            </w:r>
            <w:r w:rsidR="00E8102D">
              <w:rPr>
                <w:color w:val="0070C0"/>
              </w:rPr>
              <w:t>nor</w:t>
            </w:r>
            <w:r w:rsidR="00C87CDB">
              <w:rPr>
                <w:color w:val="0070C0"/>
              </w:rPr>
              <w:t xml:space="preserve"> rejected on Procedural grounds. </w:t>
            </w:r>
          </w:p>
          <w:p w14:paraId="41CF3A23" w14:textId="7AB53EB6" w:rsidR="00513832" w:rsidRPr="00513832" w:rsidRDefault="00513832" w:rsidP="00BA599F">
            <w:pPr>
              <w:shd w:val="clear" w:color="auto" w:fill="FFFFFF"/>
              <w:spacing w:after="120"/>
              <w:ind w:left="68"/>
              <w:rPr>
                <w:b/>
                <w:color w:val="0070C0"/>
              </w:rPr>
            </w:pPr>
            <w:r w:rsidRPr="00513832">
              <w:rPr>
                <w:b/>
                <w:color w:val="0070C0"/>
              </w:rPr>
              <w:t>Format/Styles</w:t>
            </w:r>
          </w:p>
          <w:p w14:paraId="39238239" w14:textId="77777777" w:rsidR="00AB2D32" w:rsidRPr="002A1821" w:rsidRDefault="00AB2D32" w:rsidP="00BA599F">
            <w:pPr>
              <w:shd w:val="clear" w:color="auto" w:fill="FFFFFF"/>
              <w:spacing w:after="120"/>
              <w:ind w:left="68"/>
              <w:rPr>
                <w:bCs w:val="0"/>
                <w:color w:val="0070C0"/>
              </w:rPr>
            </w:pPr>
            <w:r w:rsidRPr="002A1821">
              <w:rPr>
                <w:color w:val="0070C0"/>
              </w:rPr>
              <w:t>As indicated in the preamble of Posting 1, “[t]he drafting team selected [the Standard’s format] to facilitate the comment/response cycles; and because of its familiarity to subject matter experts.”</w:t>
            </w:r>
          </w:p>
          <w:p w14:paraId="323B16C8" w14:textId="578C7E54" w:rsidR="00AB2D32" w:rsidRPr="002A1821" w:rsidRDefault="00216976" w:rsidP="00BA599F">
            <w:pPr>
              <w:shd w:val="clear" w:color="auto" w:fill="FFFFFF"/>
              <w:spacing w:after="120"/>
              <w:ind w:left="68"/>
              <w:rPr>
                <w:bCs w:val="0"/>
                <w:color w:val="0070C0"/>
              </w:rPr>
            </w:pPr>
            <w:r>
              <w:rPr>
                <w:color w:val="0070C0"/>
              </w:rPr>
              <w:t xml:space="preserve"> </w:t>
            </w:r>
            <w:r w:rsidR="00AB2D32" w:rsidRPr="002A1821">
              <w:rPr>
                <w:color w:val="0070C0"/>
              </w:rPr>
              <w:t>The alternative is a prose structure not lending itself to precise comment by the industry (e.g., change the second word of the third line of the fourth paragraph under the fifth heading).</w:t>
            </w:r>
          </w:p>
          <w:p w14:paraId="02CACCE8" w14:textId="473CEDAD" w:rsidR="00AB2D32" w:rsidRPr="00AB2D32" w:rsidRDefault="00AB2D32" w:rsidP="00BA599F">
            <w:pPr>
              <w:shd w:val="clear" w:color="auto" w:fill="FFFFFF"/>
              <w:spacing w:after="120"/>
              <w:ind w:left="68"/>
              <w:rPr>
                <w:b/>
                <w:color w:val="0070C0"/>
              </w:rPr>
            </w:pPr>
            <w:r w:rsidRPr="00AB2D32">
              <w:rPr>
                <w:b/>
                <w:color w:val="0070C0"/>
              </w:rPr>
              <w:t xml:space="preserve">Technical Writing / Clarity </w:t>
            </w:r>
          </w:p>
          <w:p w14:paraId="13BB1FB1" w14:textId="167F6D9B" w:rsidR="009D2CEE" w:rsidRDefault="009D2CEE" w:rsidP="00BA599F">
            <w:pPr>
              <w:shd w:val="clear" w:color="auto" w:fill="FFFFFF"/>
              <w:spacing w:after="120"/>
              <w:ind w:left="68"/>
              <w:rPr>
                <w:bCs w:val="0"/>
                <w:color w:val="0070C0"/>
              </w:rPr>
            </w:pPr>
            <w:r w:rsidRPr="002A1821">
              <w:rPr>
                <w:color w:val="0070C0"/>
              </w:rPr>
              <w:t xml:space="preserve">The DT appreciates </w:t>
            </w:r>
            <w:r w:rsidR="00FB0C78">
              <w:rPr>
                <w:color w:val="0070C0"/>
              </w:rPr>
              <w:t xml:space="preserve">Reclamation’s </w:t>
            </w:r>
            <w:r w:rsidRPr="002A1821">
              <w:rPr>
                <w:color w:val="0070C0"/>
              </w:rPr>
              <w:t>technical editing of the document, taking note that conformity of headers, stylization, abbreviations, and formats will be made in accordance with WECC’s styles guide and will be addressed by WECC’s technical editor in the latter stages of the project.</w:t>
            </w:r>
          </w:p>
          <w:p w14:paraId="64C14F5E" w14:textId="3D1D9417" w:rsidR="00202A82" w:rsidRPr="002A1821" w:rsidRDefault="00FB0C78" w:rsidP="00BA599F">
            <w:pPr>
              <w:shd w:val="clear" w:color="auto" w:fill="FFFFFF"/>
              <w:spacing w:after="120"/>
              <w:ind w:left="68"/>
              <w:rPr>
                <w:color w:val="0070C0"/>
              </w:rPr>
            </w:pPr>
            <w:r w:rsidRPr="00FB0C78">
              <w:rPr>
                <w:bCs w:val="0"/>
                <w:color w:val="0070C0"/>
              </w:rPr>
              <w:t xml:space="preserve">Per the Flesch-Kincaid metric, </w:t>
            </w:r>
            <w:r>
              <w:rPr>
                <w:bCs w:val="0"/>
                <w:color w:val="0070C0"/>
              </w:rPr>
              <w:t>the Process i</w:t>
            </w:r>
            <w:r w:rsidRPr="00FB0C78">
              <w:rPr>
                <w:bCs w:val="0"/>
                <w:color w:val="0070C0"/>
              </w:rPr>
              <w:t xml:space="preserve">s drafted at the 10.9 grade level. </w:t>
            </w:r>
          </w:p>
          <w:p w14:paraId="7F4C1534" w14:textId="3B1CA693" w:rsidR="00AB2D32" w:rsidRPr="00AB2D32" w:rsidRDefault="00AB2D32" w:rsidP="00BA599F">
            <w:pPr>
              <w:shd w:val="clear" w:color="auto" w:fill="FFFFFF"/>
              <w:spacing w:after="120"/>
              <w:ind w:left="68"/>
              <w:rPr>
                <w:b/>
                <w:color w:val="0070C0"/>
              </w:rPr>
            </w:pPr>
            <w:r w:rsidRPr="00AB2D32">
              <w:rPr>
                <w:b/>
                <w:color w:val="0070C0"/>
              </w:rPr>
              <w:t>Use of the Preamble</w:t>
            </w:r>
          </w:p>
          <w:p w14:paraId="76DC9824" w14:textId="710439FE" w:rsidR="00CC6863" w:rsidRDefault="009D2CEE" w:rsidP="00BA599F">
            <w:pPr>
              <w:shd w:val="clear" w:color="auto" w:fill="FFFFFF"/>
              <w:spacing w:after="120"/>
              <w:ind w:left="68"/>
              <w:rPr>
                <w:bCs w:val="0"/>
                <w:color w:val="0070C0"/>
              </w:rPr>
            </w:pPr>
            <w:r w:rsidRPr="002A1821">
              <w:rPr>
                <w:color w:val="0070C0"/>
              </w:rPr>
              <w:t xml:space="preserve">The preamble provided </w:t>
            </w:r>
            <w:r w:rsidR="00CC6863">
              <w:rPr>
                <w:color w:val="0070C0"/>
              </w:rPr>
              <w:t xml:space="preserve">with the posting </w:t>
            </w:r>
            <w:r w:rsidRPr="002A1821">
              <w:rPr>
                <w:color w:val="0070C0"/>
              </w:rPr>
              <w:t xml:space="preserve">is not part of the proposed </w:t>
            </w:r>
            <w:r w:rsidR="00CC6863">
              <w:rPr>
                <w:color w:val="0070C0"/>
              </w:rPr>
              <w:t>Process.</w:t>
            </w:r>
            <w:r w:rsidR="00216976">
              <w:rPr>
                <w:color w:val="0070C0"/>
              </w:rPr>
              <w:t xml:space="preserve"> </w:t>
            </w:r>
            <w:r w:rsidR="00CC6863">
              <w:rPr>
                <w:color w:val="0070C0"/>
              </w:rPr>
              <w:t>I</w:t>
            </w:r>
            <w:r w:rsidRPr="002A1821">
              <w:rPr>
                <w:color w:val="0070C0"/>
              </w:rPr>
              <w:t xml:space="preserve">t is </w:t>
            </w:r>
            <w:r w:rsidR="00AB2D32">
              <w:rPr>
                <w:color w:val="0070C0"/>
              </w:rPr>
              <w:t>e</w:t>
            </w:r>
            <w:r w:rsidRPr="002A1821">
              <w:rPr>
                <w:color w:val="0070C0"/>
              </w:rPr>
              <w:t>xplanatory for purposes of the posting.</w:t>
            </w:r>
            <w:r w:rsidR="00216976">
              <w:rPr>
                <w:color w:val="0070C0"/>
              </w:rPr>
              <w:t xml:space="preserve"> </w:t>
            </w:r>
            <w:r w:rsidR="00CC6863">
              <w:rPr>
                <w:color w:val="0070C0"/>
              </w:rPr>
              <w:t xml:space="preserve">Portions of the preamble will be used to inform the WECC/NERC/FERC filing in the event the project moves forward. </w:t>
            </w:r>
          </w:p>
          <w:p w14:paraId="083C3B5C" w14:textId="4BB180C3" w:rsidR="00042E09" w:rsidRPr="000337A9" w:rsidRDefault="00042E09" w:rsidP="00BA599F">
            <w:pPr>
              <w:shd w:val="clear" w:color="auto" w:fill="FFFFFF"/>
              <w:spacing w:after="120"/>
              <w:ind w:left="68"/>
              <w:rPr>
                <w:b/>
                <w:bCs w:val="0"/>
                <w:color w:val="0070C0"/>
              </w:rPr>
            </w:pPr>
            <w:r w:rsidRPr="000337A9">
              <w:rPr>
                <w:b/>
                <w:bCs w:val="0"/>
                <w:color w:val="0070C0"/>
              </w:rPr>
              <w:t>Path List</w:t>
            </w:r>
          </w:p>
          <w:p w14:paraId="5244302F" w14:textId="77777777" w:rsidR="00FB0C78" w:rsidRDefault="00FB0C78" w:rsidP="00BA599F">
            <w:pPr>
              <w:shd w:val="clear" w:color="auto" w:fill="FFFFFF"/>
              <w:spacing w:after="120"/>
              <w:ind w:left="68"/>
              <w:rPr>
                <w:color w:val="0070C0"/>
              </w:rPr>
            </w:pPr>
            <w:r>
              <w:rPr>
                <w:bCs w:val="0"/>
                <w:color w:val="0070C0"/>
              </w:rPr>
              <w:t xml:space="preserve">The phrase “Path List” was deleted. </w:t>
            </w:r>
          </w:p>
          <w:p w14:paraId="3065AA4F" w14:textId="09E3C367" w:rsidR="006A57E4" w:rsidRPr="006A57E4" w:rsidRDefault="006A57E4" w:rsidP="00BA599F">
            <w:pPr>
              <w:shd w:val="clear" w:color="auto" w:fill="FFFFFF"/>
              <w:spacing w:after="120"/>
              <w:ind w:left="68"/>
              <w:rPr>
                <w:b/>
                <w:color w:val="0070C0"/>
              </w:rPr>
            </w:pPr>
            <w:r w:rsidRPr="006A57E4">
              <w:rPr>
                <w:b/>
                <w:color w:val="0070C0"/>
              </w:rPr>
              <w:t>Applicability Structure</w:t>
            </w:r>
          </w:p>
          <w:p w14:paraId="57B28243" w14:textId="55F254C9" w:rsidR="00042E09" w:rsidRDefault="006A57E4" w:rsidP="00BA599F">
            <w:pPr>
              <w:shd w:val="clear" w:color="auto" w:fill="FFFFFF"/>
              <w:spacing w:after="120"/>
              <w:ind w:left="68"/>
              <w:rPr>
                <w:bCs w:val="0"/>
                <w:color w:val="0070C0"/>
              </w:rPr>
            </w:pPr>
            <w:r>
              <w:rPr>
                <w:bCs w:val="0"/>
                <w:color w:val="0070C0"/>
              </w:rPr>
              <w:t>The DT opted not to make the structural change.</w:t>
            </w:r>
            <w:r w:rsidR="00216976">
              <w:rPr>
                <w:bCs w:val="0"/>
                <w:color w:val="0070C0"/>
              </w:rPr>
              <w:t xml:space="preserve"> </w:t>
            </w:r>
            <w:r w:rsidR="00FB0C78">
              <w:rPr>
                <w:bCs w:val="0"/>
                <w:color w:val="0070C0"/>
              </w:rPr>
              <w:t>It should be noted that because this is not a Standard, Standard’s drafting conventions are not required.</w:t>
            </w:r>
            <w:r w:rsidR="00216976">
              <w:rPr>
                <w:bCs w:val="0"/>
                <w:color w:val="0070C0"/>
              </w:rPr>
              <w:t xml:space="preserve"> </w:t>
            </w:r>
          </w:p>
          <w:p w14:paraId="5A0171BD" w14:textId="362F36C6" w:rsidR="00AB2A51" w:rsidRDefault="00216976" w:rsidP="00BA599F">
            <w:pPr>
              <w:shd w:val="clear" w:color="auto" w:fill="FFFFFF"/>
              <w:spacing w:after="120"/>
              <w:ind w:left="68"/>
              <w:rPr>
                <w:b/>
                <w:color w:val="0070C0"/>
              </w:rPr>
            </w:pPr>
            <w:r>
              <w:rPr>
                <w:color w:val="0070C0"/>
              </w:rPr>
              <w:t xml:space="preserve"> </w:t>
            </w:r>
            <w:r w:rsidR="00AB2A51" w:rsidRPr="00AB2A51">
              <w:rPr>
                <w:b/>
                <w:bCs w:val="0"/>
                <w:color w:val="0070C0"/>
              </w:rPr>
              <w:t>Use of Requesting Entity – Too Confusing</w:t>
            </w:r>
            <w:r w:rsidR="0079574D">
              <w:rPr>
                <w:b/>
                <w:bCs w:val="0"/>
                <w:color w:val="0070C0"/>
              </w:rPr>
              <w:t>?</w:t>
            </w:r>
          </w:p>
          <w:p w14:paraId="57631F5C" w14:textId="22D8DE3B" w:rsidR="006A57E4" w:rsidRDefault="00597D38" w:rsidP="00BA599F">
            <w:pPr>
              <w:shd w:val="clear" w:color="auto" w:fill="FFFFFF"/>
              <w:spacing w:after="120"/>
              <w:ind w:left="68"/>
              <w:rPr>
                <w:bCs w:val="0"/>
                <w:color w:val="0070C0"/>
              </w:rPr>
            </w:pPr>
            <w:r>
              <w:rPr>
                <w:color w:val="0070C0"/>
              </w:rPr>
              <w:t>The DT considered making changes to the nomenclature.</w:t>
            </w:r>
            <w:r w:rsidR="00216976">
              <w:rPr>
                <w:color w:val="0070C0"/>
              </w:rPr>
              <w:t xml:space="preserve"> </w:t>
            </w:r>
            <w:r>
              <w:rPr>
                <w:color w:val="0070C0"/>
              </w:rPr>
              <w:t xml:space="preserve">The DT agrees </w:t>
            </w:r>
            <w:r w:rsidR="00AC1FA6">
              <w:rPr>
                <w:color w:val="0070C0"/>
              </w:rPr>
              <w:t>with Reclamation that t</w:t>
            </w:r>
            <w:r>
              <w:rPr>
                <w:color w:val="0070C0"/>
              </w:rPr>
              <w:t>he abbreviation “RE” is used in other forums to represent terms other than those included herein.</w:t>
            </w:r>
            <w:r w:rsidR="00216976">
              <w:rPr>
                <w:color w:val="0070C0"/>
              </w:rPr>
              <w:t xml:space="preserve"> </w:t>
            </w:r>
            <w:r>
              <w:rPr>
                <w:color w:val="0070C0"/>
              </w:rPr>
              <w:t>However, the DT also concluded th</w:t>
            </w:r>
            <w:r w:rsidR="00AC1FA6">
              <w:rPr>
                <w:color w:val="0070C0"/>
              </w:rPr>
              <w:t>at in whatever document the term is used, there is also a designated use of the term</w:t>
            </w:r>
            <w:r w:rsidR="00AA1142">
              <w:rPr>
                <w:color w:val="0070C0"/>
              </w:rPr>
              <w:t xml:space="preserve"> as explained </w:t>
            </w:r>
            <w:r w:rsidR="006A57E4">
              <w:rPr>
                <w:color w:val="0070C0"/>
              </w:rPr>
              <w:t>by the document in which the term is used.</w:t>
            </w:r>
            <w:r w:rsidR="00216976">
              <w:rPr>
                <w:color w:val="0070C0"/>
              </w:rPr>
              <w:t xml:space="preserve"> </w:t>
            </w:r>
            <w:r w:rsidR="006A57E4">
              <w:rPr>
                <w:color w:val="0070C0"/>
              </w:rPr>
              <w:t>A</w:t>
            </w:r>
            <w:r w:rsidR="00AC1FA6">
              <w:rPr>
                <w:color w:val="0070C0"/>
              </w:rPr>
              <w:t>s such, the four corners of any given document dictate how the “RE” term is used</w:t>
            </w:r>
            <w:r w:rsidR="006A57E4">
              <w:rPr>
                <w:color w:val="0070C0"/>
              </w:rPr>
              <w:t>.</w:t>
            </w:r>
            <w:r w:rsidR="00216976">
              <w:rPr>
                <w:color w:val="0070C0"/>
              </w:rPr>
              <w:t xml:space="preserve"> </w:t>
            </w:r>
            <w:r w:rsidR="006A57E4">
              <w:rPr>
                <w:color w:val="0070C0"/>
              </w:rPr>
              <w:t xml:space="preserve">Its use should be no more complex at implement that any other document taking the same approach. </w:t>
            </w:r>
          </w:p>
          <w:p w14:paraId="7C93825B" w14:textId="6E1137DF" w:rsidR="00202A82" w:rsidRPr="00BA599F" w:rsidRDefault="009D2CEE" w:rsidP="00BA599F">
            <w:pPr>
              <w:shd w:val="clear" w:color="auto" w:fill="FFFFFF"/>
              <w:spacing w:after="120"/>
              <w:ind w:left="68"/>
              <w:rPr>
                <w:b/>
                <w:bCs w:val="0"/>
                <w:color w:val="0070C0"/>
              </w:rPr>
            </w:pPr>
            <w:r w:rsidRPr="002A1821">
              <w:rPr>
                <w:b/>
                <w:color w:val="0070C0"/>
              </w:rPr>
              <w:t>Compliance</w:t>
            </w:r>
          </w:p>
          <w:p w14:paraId="19B90802" w14:textId="306B6917" w:rsidR="00202A82" w:rsidRPr="002A1821" w:rsidRDefault="009D2CEE" w:rsidP="00BA599F">
            <w:pPr>
              <w:shd w:val="clear" w:color="auto" w:fill="FFFFFF"/>
              <w:spacing w:after="120"/>
              <w:ind w:left="68"/>
              <w:rPr>
                <w:bCs w:val="0"/>
                <w:color w:val="0070C0"/>
              </w:rPr>
            </w:pPr>
            <w:r w:rsidRPr="002A1821">
              <w:rPr>
                <w:color w:val="0070C0"/>
              </w:rPr>
              <w:t xml:space="preserve">Reclamation raises the concern that confusion may reign regarding whether the </w:t>
            </w:r>
            <w:r w:rsidR="00AA1142">
              <w:rPr>
                <w:color w:val="0070C0"/>
              </w:rPr>
              <w:t xml:space="preserve">Process </w:t>
            </w:r>
            <w:r w:rsidRPr="002A1821">
              <w:rPr>
                <w:color w:val="0070C0"/>
              </w:rPr>
              <w:t>is subject to compliance enforcement.</w:t>
            </w:r>
          </w:p>
          <w:p w14:paraId="68431682" w14:textId="7FDFB75E" w:rsidR="009D2CEE" w:rsidRPr="002A1821" w:rsidRDefault="009D2CEE" w:rsidP="00BA599F">
            <w:pPr>
              <w:shd w:val="clear" w:color="auto" w:fill="FFFFFF"/>
              <w:spacing w:after="120"/>
              <w:ind w:left="68"/>
              <w:rPr>
                <w:bCs w:val="0"/>
                <w:color w:val="0070C0"/>
              </w:rPr>
            </w:pPr>
            <w:r w:rsidRPr="002A1821">
              <w:rPr>
                <w:color w:val="0070C0"/>
              </w:rPr>
              <w:t xml:space="preserve"> In addition to </w:t>
            </w:r>
            <w:r w:rsidR="006466CB" w:rsidRPr="002A1821">
              <w:rPr>
                <w:color w:val="0070C0"/>
              </w:rPr>
              <w:t xml:space="preserve">Section </w:t>
            </w:r>
            <w:r w:rsidRPr="002A1821">
              <w:rPr>
                <w:color w:val="0070C0"/>
              </w:rPr>
              <w:t xml:space="preserve">“A.2. Number: NOT APPLICABLE. THIS IS NOT A WECC/NERC STANDARD” the following footnote is added to that section clarifying that the requirements of the </w:t>
            </w:r>
            <w:r w:rsidR="001727D3" w:rsidRPr="002A1821">
              <w:rPr>
                <w:color w:val="0070C0"/>
              </w:rPr>
              <w:t xml:space="preserve">Table </w:t>
            </w:r>
            <w:r w:rsidRPr="002A1821">
              <w:rPr>
                <w:color w:val="0070C0"/>
              </w:rPr>
              <w:t xml:space="preserve">Revision Process are not subject to Compliance enforcement: </w:t>
            </w:r>
          </w:p>
          <w:p w14:paraId="70C3668B" w14:textId="50200A5D" w:rsidR="009D2CEE" w:rsidRPr="002A1821" w:rsidRDefault="009D2CEE" w:rsidP="00BA599F">
            <w:pPr>
              <w:shd w:val="clear" w:color="auto" w:fill="FFFFFF"/>
              <w:spacing w:after="120"/>
              <w:ind w:left="698"/>
              <w:rPr>
                <w:bCs w:val="0"/>
                <w:color w:val="0070C0"/>
              </w:rPr>
            </w:pPr>
            <w:bookmarkStart w:id="5" w:name="_Hlk111811563"/>
            <w:r w:rsidRPr="002A1821">
              <w:rPr>
                <w:color w:val="0070C0"/>
              </w:rPr>
              <w:t>“THIS DOCUMENT IS NOT A STANDARD.</w:t>
            </w:r>
            <w:r w:rsidR="00216976">
              <w:rPr>
                <w:color w:val="0070C0"/>
              </w:rPr>
              <w:t xml:space="preserve"> </w:t>
            </w:r>
            <w:r w:rsidRPr="002A1821">
              <w:rPr>
                <w:color w:val="0070C0"/>
              </w:rPr>
              <w:t>This document is not enforceable by a Compliance Enforcement Authority, meaning NERC or a Regional Entity, or any entity as otherwise designated by an Applicable Governmental Authority, in their respective roles of monitoring and/or enforcing compliance with mandatory and enforceable Reliability Standards.</w:t>
            </w:r>
            <w:r w:rsidR="00483A71">
              <w:rPr>
                <w:color w:val="0070C0"/>
              </w:rPr>
              <w:t>”</w:t>
            </w:r>
            <w:r w:rsidR="00216976">
              <w:rPr>
                <w:color w:val="0070C0"/>
              </w:rPr>
              <w:t xml:space="preserve"> </w:t>
            </w:r>
          </w:p>
          <w:bookmarkEnd w:id="5"/>
          <w:p w14:paraId="384246AA" w14:textId="484094E2" w:rsidR="00202A82" w:rsidRDefault="009D2CEE" w:rsidP="00BA599F">
            <w:pPr>
              <w:shd w:val="clear" w:color="auto" w:fill="FFFFFF"/>
              <w:spacing w:after="120"/>
              <w:ind w:left="68"/>
              <w:rPr>
                <w:bCs w:val="0"/>
                <w:color w:val="0070C0"/>
              </w:rPr>
            </w:pPr>
            <w:r w:rsidRPr="002A1821">
              <w:rPr>
                <w:color w:val="0070C0"/>
              </w:rPr>
              <w:t>This position is reinforced by the absence of a Compliance section that is always present in all enforceable Standards.</w:t>
            </w:r>
          </w:p>
          <w:p w14:paraId="13C04A20" w14:textId="63980A4E" w:rsidR="00483A71" w:rsidRPr="00483A71" w:rsidRDefault="00C15195" w:rsidP="00BA599F">
            <w:pPr>
              <w:shd w:val="clear" w:color="auto" w:fill="FFFFFF"/>
              <w:spacing w:after="120"/>
              <w:ind w:left="68"/>
              <w:rPr>
                <w:b/>
                <w:bCs w:val="0"/>
                <w:color w:val="0070C0"/>
              </w:rPr>
            </w:pPr>
            <w:r>
              <w:rPr>
                <w:b/>
                <w:bCs w:val="0"/>
                <w:color w:val="0070C0"/>
              </w:rPr>
              <w:t>Required Approvals</w:t>
            </w:r>
          </w:p>
          <w:p w14:paraId="78D0ADDF" w14:textId="77777777" w:rsidR="00C15195" w:rsidRDefault="00C15195" w:rsidP="00BA599F">
            <w:pPr>
              <w:shd w:val="clear" w:color="auto" w:fill="FFFFFF"/>
              <w:spacing w:after="120"/>
              <w:ind w:left="68"/>
              <w:rPr>
                <w:bCs w:val="0"/>
                <w:color w:val="0070C0"/>
              </w:rPr>
            </w:pPr>
            <w:bookmarkStart w:id="6" w:name="_Hlk112143904"/>
            <w:r>
              <w:rPr>
                <w:color w:val="0070C0"/>
              </w:rPr>
              <w:t>The following note was added to the Required Approvals section.</w:t>
            </w:r>
          </w:p>
          <w:p w14:paraId="630913F4" w14:textId="5498E4C8" w:rsidR="00D212A8" w:rsidRDefault="00D212A8" w:rsidP="00BA599F">
            <w:pPr>
              <w:shd w:val="clear" w:color="auto" w:fill="FFFFFF"/>
              <w:spacing w:after="120"/>
              <w:ind w:left="68"/>
              <w:rPr>
                <w:bCs w:val="0"/>
                <w:color w:val="0070C0"/>
              </w:rPr>
            </w:pPr>
            <w:r>
              <w:rPr>
                <w:color w:val="0070C0"/>
              </w:rPr>
              <w:t>“</w:t>
            </w:r>
            <w:r w:rsidRPr="00D212A8">
              <w:rPr>
                <w:color w:val="0070C0"/>
              </w:rPr>
              <w:t>This document is maintained by the WECC Standards Committee (WSC), or its successor, and is subject to review each five years following the effective date.</w:t>
            </w:r>
            <w:r>
              <w:rPr>
                <w:color w:val="0070C0"/>
              </w:rPr>
              <w:t>”</w:t>
            </w:r>
          </w:p>
          <w:bookmarkEnd w:id="6"/>
          <w:p w14:paraId="61B6DDF1" w14:textId="619DACFD" w:rsidR="009D2CEE" w:rsidRPr="002A1821" w:rsidRDefault="009D2CEE" w:rsidP="00BA599F">
            <w:pPr>
              <w:shd w:val="clear" w:color="auto" w:fill="FFFFFF"/>
              <w:spacing w:after="120"/>
              <w:ind w:left="68"/>
              <w:rPr>
                <w:b/>
                <w:bCs w:val="0"/>
                <w:color w:val="0070C0"/>
              </w:rPr>
            </w:pPr>
            <w:r w:rsidRPr="002A1821">
              <w:rPr>
                <w:b/>
                <w:color w:val="0070C0"/>
              </w:rPr>
              <w:t>“Shall”</w:t>
            </w:r>
          </w:p>
          <w:p w14:paraId="3F6D5765" w14:textId="74456A89" w:rsidR="009D2CEE" w:rsidRPr="002A1821" w:rsidRDefault="009D2CEE" w:rsidP="00BA599F">
            <w:pPr>
              <w:shd w:val="clear" w:color="auto" w:fill="FFFFFF"/>
              <w:spacing w:after="120"/>
              <w:ind w:left="68"/>
              <w:rPr>
                <w:bCs w:val="0"/>
                <w:color w:val="0070C0"/>
              </w:rPr>
            </w:pPr>
            <w:r w:rsidRPr="002A1821">
              <w:rPr>
                <w:color w:val="0070C0"/>
              </w:rPr>
              <w:t xml:space="preserve">Reclamation states, </w:t>
            </w:r>
            <w:r w:rsidR="00DE69BF" w:rsidRPr="002A1821">
              <w:rPr>
                <w:color w:val="0070C0"/>
              </w:rPr>
              <w:t>“</w:t>
            </w:r>
            <w:r w:rsidRPr="002A1821">
              <w:rPr>
                <w:color w:val="0070C0"/>
              </w:rPr>
              <w:t>“Shall” is frequently misused throughout this document</w:t>
            </w:r>
            <w:r w:rsidR="005C4DB3" w:rsidRPr="002A1821">
              <w:rPr>
                <w:color w:val="0070C0"/>
              </w:rPr>
              <w:t>;”</w:t>
            </w:r>
            <w:r w:rsidR="00DE69BF" w:rsidRPr="002A1821">
              <w:rPr>
                <w:color w:val="0070C0"/>
              </w:rPr>
              <w:t xml:space="preserve"> however, Reclamation </w:t>
            </w:r>
            <w:r w:rsidRPr="002A1821">
              <w:rPr>
                <w:color w:val="0070C0"/>
              </w:rPr>
              <w:t>makes no specific statement as to its misuse, nor does Reclamation provide its preferred drafting convention.</w:t>
            </w:r>
            <w:r w:rsidR="00216976">
              <w:rPr>
                <w:color w:val="0070C0"/>
              </w:rPr>
              <w:t xml:space="preserve"> </w:t>
            </w:r>
            <w:r w:rsidRPr="002A1821">
              <w:rPr>
                <w:color w:val="0070C0"/>
              </w:rPr>
              <w:t>No changes were made based solely on this comment.</w:t>
            </w:r>
          </w:p>
          <w:p w14:paraId="60BE864C" w14:textId="03E250F4" w:rsidR="009D2CEE" w:rsidRPr="002A1821" w:rsidRDefault="009D2CEE" w:rsidP="00BA599F">
            <w:pPr>
              <w:shd w:val="clear" w:color="auto" w:fill="FFFFFF"/>
              <w:spacing w:after="120"/>
              <w:ind w:left="68"/>
              <w:rPr>
                <w:b/>
                <w:bCs w:val="0"/>
                <w:color w:val="0070C0"/>
              </w:rPr>
            </w:pPr>
            <w:r w:rsidRPr="002A1821">
              <w:rPr>
                <w:b/>
                <w:color w:val="0070C0"/>
              </w:rPr>
              <w:t>5.2 – References/Clarity</w:t>
            </w:r>
          </w:p>
          <w:p w14:paraId="74872164" w14:textId="77777777" w:rsidR="006B10F7" w:rsidRPr="002A1821" w:rsidRDefault="006B10F7" w:rsidP="00BA599F">
            <w:pPr>
              <w:shd w:val="clear" w:color="auto" w:fill="FFFFFF"/>
              <w:spacing w:after="120"/>
              <w:ind w:left="68"/>
              <w:rPr>
                <w:bCs w:val="0"/>
                <w:color w:val="0070C0"/>
              </w:rPr>
            </w:pPr>
            <w:r w:rsidRPr="002A1821">
              <w:rPr>
                <w:color w:val="0070C0"/>
              </w:rPr>
              <w:t xml:space="preserve">Reclamation suggests that Section 5.2 may be “unclear.” </w:t>
            </w:r>
          </w:p>
          <w:p w14:paraId="4CE08F30" w14:textId="0EDEF635" w:rsidR="003918C8" w:rsidRPr="002A1821" w:rsidRDefault="006B10F7" w:rsidP="00BA599F">
            <w:pPr>
              <w:shd w:val="clear" w:color="auto" w:fill="FFFFFF"/>
              <w:spacing w:after="120"/>
              <w:ind w:left="68"/>
              <w:rPr>
                <w:bCs w:val="0"/>
                <w:color w:val="0070C0"/>
              </w:rPr>
            </w:pPr>
            <w:r w:rsidRPr="002A1821">
              <w:rPr>
                <w:color w:val="0070C0"/>
              </w:rPr>
              <w:t>T</w:t>
            </w:r>
            <w:r w:rsidR="009D2CEE" w:rsidRPr="002A1821">
              <w:rPr>
                <w:color w:val="0070C0"/>
              </w:rPr>
              <w:t xml:space="preserve">he DT </w:t>
            </w:r>
            <w:r w:rsidRPr="002A1821">
              <w:rPr>
                <w:color w:val="0070C0"/>
              </w:rPr>
              <w:t xml:space="preserve">updated </w:t>
            </w:r>
            <w:r w:rsidR="001727D3" w:rsidRPr="002A1821">
              <w:rPr>
                <w:color w:val="0070C0"/>
              </w:rPr>
              <w:t xml:space="preserve">Section 5.2 </w:t>
            </w:r>
            <w:r w:rsidRPr="002A1821">
              <w:rPr>
                <w:color w:val="0070C0"/>
              </w:rPr>
              <w:t>as follows:</w:t>
            </w:r>
            <w:r w:rsidR="00216976">
              <w:rPr>
                <w:color w:val="0070C0"/>
              </w:rPr>
              <w:t xml:space="preserve"> </w:t>
            </w:r>
          </w:p>
          <w:p w14:paraId="527D476F" w14:textId="77777777" w:rsidR="007164BD" w:rsidRDefault="007164BD" w:rsidP="00BA599F">
            <w:pPr>
              <w:shd w:val="clear" w:color="auto" w:fill="FFFFFF"/>
              <w:spacing w:after="120"/>
              <w:ind w:left="68"/>
              <w:rPr>
                <w:color w:val="0070C0"/>
              </w:rPr>
            </w:pPr>
            <w:bookmarkStart w:id="7" w:name="_Hlk112147995"/>
            <w:r>
              <w:rPr>
                <w:bCs w:val="0"/>
                <w:color w:val="0070C0"/>
              </w:rPr>
              <w:t>“</w:t>
            </w:r>
            <w:r w:rsidRPr="007164BD">
              <w:rPr>
                <w:bCs w:val="0"/>
                <w:color w:val="0070C0"/>
              </w:rPr>
              <w:t>This Process also applies to those documents listed in this section in which a derivation of the Table title is used, as approved by FERC. This Process continues to apply to documents listed in this section so long as the Table is referenced in those specified documents.</w:t>
            </w:r>
            <w:r>
              <w:rPr>
                <w:bCs w:val="0"/>
                <w:color w:val="0070C0"/>
              </w:rPr>
              <w:t>”</w:t>
            </w:r>
          </w:p>
          <w:bookmarkEnd w:id="7"/>
          <w:p w14:paraId="7993B2A9" w14:textId="7E68456D" w:rsidR="006B10F7" w:rsidRPr="002A1821" w:rsidRDefault="007164BD" w:rsidP="00BA599F">
            <w:pPr>
              <w:shd w:val="clear" w:color="auto" w:fill="FFFFFF"/>
              <w:spacing w:after="120"/>
              <w:ind w:left="68"/>
              <w:rPr>
                <w:bCs w:val="0"/>
                <w:color w:val="0070C0"/>
              </w:rPr>
            </w:pPr>
            <w:r w:rsidRPr="007164BD">
              <w:rPr>
                <w:bCs w:val="0"/>
                <w:color w:val="0070C0"/>
              </w:rPr>
              <w:t xml:space="preserve"> </w:t>
            </w:r>
            <w:r w:rsidR="006B10F7" w:rsidRPr="002A1821">
              <w:rPr>
                <w:color w:val="0070C0"/>
              </w:rPr>
              <w:t xml:space="preserve">The purpose of the second sentence is to create a self-executing severance of the </w:t>
            </w:r>
            <w:r>
              <w:rPr>
                <w:color w:val="0070C0"/>
              </w:rPr>
              <w:t>P</w:t>
            </w:r>
            <w:r w:rsidR="006B10F7" w:rsidRPr="002A1821">
              <w:rPr>
                <w:color w:val="0070C0"/>
              </w:rPr>
              <w:t xml:space="preserve">rocess from those documents specified in 5.2, in the event those documents cease referring to the Table. </w:t>
            </w:r>
          </w:p>
          <w:p w14:paraId="2486A124" w14:textId="77777777" w:rsidR="009D2CEE" w:rsidRPr="002A1821" w:rsidRDefault="009D2CEE" w:rsidP="00BA599F">
            <w:pPr>
              <w:shd w:val="clear" w:color="auto" w:fill="FFFFFF"/>
              <w:spacing w:after="120"/>
              <w:ind w:left="68"/>
              <w:rPr>
                <w:b/>
                <w:color w:val="0070C0"/>
              </w:rPr>
            </w:pPr>
            <w:r w:rsidRPr="002A1821">
              <w:rPr>
                <w:b/>
                <w:color w:val="0070C0"/>
              </w:rPr>
              <w:t>Effective Date</w:t>
            </w:r>
          </w:p>
          <w:p w14:paraId="552913FA" w14:textId="77777777" w:rsidR="009D2CEE" w:rsidRPr="002A1821" w:rsidRDefault="009D2CEE" w:rsidP="00BA599F">
            <w:pPr>
              <w:shd w:val="clear" w:color="auto" w:fill="FFFFFF"/>
              <w:spacing w:after="120"/>
              <w:ind w:left="68"/>
              <w:rPr>
                <w:color w:val="0070C0"/>
              </w:rPr>
            </w:pPr>
            <w:r w:rsidRPr="002A1821">
              <w:rPr>
                <w:color w:val="0070C0"/>
              </w:rPr>
              <w:t>Reclamation is concerned that use of the phrase “plus approval of the Table Revision Process” is unclear.</w:t>
            </w:r>
          </w:p>
          <w:p w14:paraId="52ADD364" w14:textId="5EF8E885" w:rsidR="009D2CEE" w:rsidRPr="002A1821" w:rsidRDefault="009D2CEE" w:rsidP="00BA599F">
            <w:pPr>
              <w:shd w:val="clear" w:color="auto" w:fill="FFFFFF"/>
              <w:spacing w:after="120"/>
              <w:ind w:left="68"/>
              <w:rPr>
                <w:color w:val="0070C0"/>
              </w:rPr>
            </w:pPr>
            <w:r w:rsidRPr="002A1821">
              <w:rPr>
                <w:color w:val="0070C0"/>
              </w:rPr>
              <w:t>The</w:t>
            </w:r>
            <w:r w:rsidR="00CD153D" w:rsidRPr="002A1821">
              <w:rPr>
                <w:color w:val="0070C0"/>
              </w:rPr>
              <w:t xml:space="preserve"> sentence should be construed as follows</w:t>
            </w:r>
            <w:r w:rsidR="001727D3" w:rsidRPr="002A1821">
              <w:rPr>
                <w:color w:val="0070C0"/>
              </w:rPr>
              <w:t xml:space="preserve"> </w:t>
            </w:r>
            <w:r w:rsidR="00AB2A51">
              <w:rPr>
                <w:color w:val="0070C0"/>
              </w:rPr>
              <w:t xml:space="preserve">(C = </w:t>
            </w:r>
            <w:r w:rsidR="001727D3" w:rsidRPr="002A1821">
              <w:rPr>
                <w:color w:val="0070C0"/>
              </w:rPr>
              <w:t>A + B</w:t>
            </w:r>
            <w:r w:rsidR="00AB2A51">
              <w:rPr>
                <w:color w:val="0070C0"/>
              </w:rPr>
              <w:t>)</w:t>
            </w:r>
            <w:r w:rsidR="00CD153D" w:rsidRPr="002A1821">
              <w:rPr>
                <w:color w:val="0070C0"/>
              </w:rPr>
              <w:t xml:space="preserve">: </w:t>
            </w:r>
            <w:r w:rsidR="00AB2A51">
              <w:rPr>
                <w:color w:val="0070C0"/>
              </w:rPr>
              <w:t>The effective date (C) is triggered u</w:t>
            </w:r>
            <w:r w:rsidR="001727D3" w:rsidRPr="002A1821">
              <w:rPr>
                <w:color w:val="0070C0"/>
              </w:rPr>
              <w:t>pon</w:t>
            </w:r>
            <w:r w:rsidR="00AB2A51">
              <w:rPr>
                <w:color w:val="0070C0"/>
              </w:rPr>
              <w:t xml:space="preserve"> the occurrence of (A) </w:t>
            </w:r>
            <w:r w:rsidR="001727D3" w:rsidRPr="002A1821">
              <w:rPr>
                <w:color w:val="0070C0"/>
              </w:rPr>
              <w:t>“</w:t>
            </w:r>
            <w:r w:rsidR="00CD153D" w:rsidRPr="002A1821">
              <w:rPr>
                <w:color w:val="0070C0"/>
              </w:rPr>
              <w:t>a</w:t>
            </w:r>
            <w:r w:rsidRPr="002A1821">
              <w:rPr>
                <w:color w:val="0070C0"/>
              </w:rPr>
              <w:t xml:space="preserve">pproval of FAC-501-WECC-4” </w:t>
            </w:r>
            <w:r w:rsidRPr="002A1821">
              <w:rPr>
                <w:i/>
                <w:iCs/>
                <w:color w:val="0070C0"/>
                <w:u w:val="single"/>
              </w:rPr>
              <w:t>plus</w:t>
            </w:r>
            <w:r w:rsidRPr="002A1821">
              <w:rPr>
                <w:color w:val="0070C0"/>
              </w:rPr>
              <w:t xml:space="preserve"> </w:t>
            </w:r>
            <w:r w:rsidR="00287368">
              <w:rPr>
                <w:color w:val="0070C0"/>
              </w:rPr>
              <w:t>(</w:t>
            </w:r>
            <w:r w:rsidR="00E63D1A" w:rsidRPr="002A1821">
              <w:rPr>
                <w:color w:val="0070C0"/>
              </w:rPr>
              <w:t>B</w:t>
            </w:r>
            <w:r w:rsidR="00287368">
              <w:rPr>
                <w:color w:val="0070C0"/>
              </w:rPr>
              <w:t>)</w:t>
            </w:r>
            <w:r w:rsidR="00E63D1A" w:rsidRPr="002A1821">
              <w:rPr>
                <w:color w:val="0070C0"/>
              </w:rPr>
              <w:t xml:space="preserve">, </w:t>
            </w:r>
            <w:r w:rsidRPr="002A1821">
              <w:rPr>
                <w:color w:val="0070C0"/>
              </w:rPr>
              <w:t>“approval of the Table Revision Process</w:t>
            </w:r>
            <w:r w:rsidR="00BA599F">
              <w:rPr>
                <w:color w:val="0070C0"/>
              </w:rPr>
              <w:t>.</w:t>
            </w:r>
            <w:r w:rsidRPr="002A1821">
              <w:rPr>
                <w:color w:val="0070C0"/>
              </w:rPr>
              <w:t>”</w:t>
            </w:r>
            <w:r w:rsidR="00216976">
              <w:rPr>
                <w:color w:val="0070C0"/>
              </w:rPr>
              <w:t xml:space="preserve"> </w:t>
            </w:r>
          </w:p>
          <w:p w14:paraId="44DC0DC6" w14:textId="77777777" w:rsidR="009D2CEE" w:rsidRPr="002A1821" w:rsidRDefault="009D2CEE" w:rsidP="00BA599F">
            <w:pPr>
              <w:shd w:val="clear" w:color="auto" w:fill="FFFFFF"/>
              <w:spacing w:after="120"/>
              <w:ind w:left="68"/>
              <w:rPr>
                <w:color w:val="0070C0"/>
              </w:rPr>
            </w:pPr>
            <w:r w:rsidRPr="002A1821">
              <w:rPr>
                <w:color w:val="0070C0"/>
              </w:rPr>
              <w:t xml:space="preserve">To clarify the matter, the DT offers the following: </w:t>
            </w:r>
          </w:p>
          <w:p w14:paraId="4B89EF1B" w14:textId="5C426DA7" w:rsidR="00796CF4" w:rsidRPr="002A1821" w:rsidRDefault="009D2CEE" w:rsidP="00BA599F">
            <w:pPr>
              <w:shd w:val="clear" w:color="auto" w:fill="FFFFFF"/>
              <w:spacing w:after="120"/>
              <w:ind w:left="68"/>
              <w:rPr>
                <w:color w:val="0070C0"/>
              </w:rPr>
            </w:pPr>
            <w:r w:rsidRPr="002A1821">
              <w:rPr>
                <w:color w:val="0070C0"/>
              </w:rPr>
              <w:t xml:space="preserve">The effective date </w:t>
            </w:r>
            <w:r w:rsidR="00CD153D" w:rsidRPr="002A1821">
              <w:rPr>
                <w:color w:val="0070C0"/>
              </w:rPr>
              <w:t>has been changed to</w:t>
            </w:r>
            <w:r w:rsidRPr="002A1821">
              <w:rPr>
                <w:color w:val="0070C0"/>
              </w:rPr>
              <w:t xml:space="preserve"> “</w:t>
            </w:r>
            <w:r w:rsidR="00CD153D" w:rsidRPr="002A1821">
              <w:rPr>
                <w:color w:val="0070C0"/>
              </w:rPr>
              <w:t>[t]</w:t>
            </w:r>
            <w:r w:rsidRPr="002A1821">
              <w:rPr>
                <w:color w:val="0070C0"/>
              </w:rPr>
              <w:t>he first day of the second quarter following regulatory approval of FAC-501-WECC-4, Transmission Maintenance</w:t>
            </w:r>
            <w:r w:rsidR="00CD153D" w:rsidRPr="002A1821">
              <w:rPr>
                <w:color w:val="0070C0"/>
              </w:rPr>
              <w:t xml:space="preserve"> </w:t>
            </w:r>
            <w:r w:rsidR="00CD153D" w:rsidRPr="002A1821">
              <w:rPr>
                <w:i/>
                <w:iCs/>
                <w:color w:val="0070C0"/>
                <w:u w:val="single"/>
              </w:rPr>
              <w:t>and</w:t>
            </w:r>
            <w:r w:rsidR="00CD153D" w:rsidRPr="002A1821">
              <w:rPr>
                <w:color w:val="0070C0"/>
              </w:rPr>
              <w:t xml:space="preserve"> </w:t>
            </w:r>
            <w:r w:rsidRPr="002A1821">
              <w:rPr>
                <w:color w:val="0070C0"/>
              </w:rPr>
              <w:t xml:space="preserve">this Table Revision Process.” (Emphasis added.) </w:t>
            </w:r>
          </w:p>
          <w:p w14:paraId="68A7102C" w14:textId="681CDC86" w:rsidR="009D2CEE" w:rsidRPr="00BA599F" w:rsidRDefault="009D2CEE" w:rsidP="00BA599F">
            <w:pPr>
              <w:shd w:val="clear" w:color="auto" w:fill="FFFFFF"/>
              <w:spacing w:after="120"/>
              <w:ind w:left="68"/>
              <w:rPr>
                <w:b/>
                <w:color w:val="0070C0"/>
              </w:rPr>
            </w:pPr>
            <w:r w:rsidRPr="002A1821">
              <w:rPr>
                <w:b/>
                <w:color w:val="0070C0"/>
              </w:rPr>
              <w:t>B. Process Requirements</w:t>
            </w:r>
          </w:p>
          <w:p w14:paraId="6C2452AE" w14:textId="4AB192BF" w:rsidR="009D2CEE" w:rsidRPr="002A1821" w:rsidRDefault="009D2CEE" w:rsidP="00BA599F">
            <w:pPr>
              <w:shd w:val="clear" w:color="auto" w:fill="FFFFFF"/>
              <w:spacing w:after="120"/>
              <w:ind w:left="68"/>
              <w:rPr>
                <w:color w:val="0070C0"/>
              </w:rPr>
            </w:pPr>
            <w:r w:rsidRPr="002A1821">
              <w:rPr>
                <w:color w:val="0070C0"/>
              </w:rPr>
              <w:t xml:space="preserve">Reclamation is concerned that using the word “requirements” </w:t>
            </w:r>
            <w:r w:rsidR="00CD153D" w:rsidRPr="002A1821">
              <w:rPr>
                <w:color w:val="0070C0"/>
              </w:rPr>
              <w:t>in Section B</w:t>
            </w:r>
            <w:r w:rsidR="000B6418" w:rsidRPr="002A1821">
              <w:rPr>
                <w:color w:val="0070C0"/>
              </w:rPr>
              <w:t>. Process Requirements</w:t>
            </w:r>
            <w:r w:rsidR="00791F9C" w:rsidRPr="002A1821">
              <w:rPr>
                <w:color w:val="0070C0"/>
              </w:rPr>
              <w:t xml:space="preserve"> and those sections that follow </w:t>
            </w:r>
            <w:r w:rsidRPr="002A1821">
              <w:rPr>
                <w:color w:val="0070C0"/>
              </w:rPr>
              <w:t>may create confusion with compliance requirements</w:t>
            </w:r>
            <w:r w:rsidR="00791F9C" w:rsidRPr="002A1821">
              <w:rPr>
                <w:color w:val="0070C0"/>
              </w:rPr>
              <w:t xml:space="preserve"> and associated compliance programs</w:t>
            </w:r>
            <w:r w:rsidRPr="002A1821">
              <w:rPr>
                <w:color w:val="0070C0"/>
              </w:rPr>
              <w:t>.</w:t>
            </w:r>
            <w:r w:rsidR="00216976">
              <w:rPr>
                <w:color w:val="0070C0"/>
              </w:rPr>
              <w:t xml:space="preserve"> </w:t>
            </w:r>
            <w:r w:rsidR="00287368">
              <w:rPr>
                <w:color w:val="0070C0"/>
              </w:rPr>
              <w:t xml:space="preserve">Reclamation suggests replacing the word </w:t>
            </w:r>
            <w:r w:rsidR="00926A2E">
              <w:rPr>
                <w:color w:val="0070C0"/>
              </w:rPr>
              <w:t>“</w:t>
            </w:r>
            <w:r w:rsidR="00287368">
              <w:rPr>
                <w:color w:val="0070C0"/>
              </w:rPr>
              <w:t>requirements</w:t>
            </w:r>
            <w:r w:rsidR="00926A2E">
              <w:rPr>
                <w:color w:val="0070C0"/>
              </w:rPr>
              <w:t>”</w:t>
            </w:r>
            <w:r w:rsidR="00287368">
              <w:rPr>
                <w:color w:val="0070C0"/>
              </w:rPr>
              <w:t xml:space="preserve"> with the word </w:t>
            </w:r>
            <w:r w:rsidR="00926A2E">
              <w:rPr>
                <w:color w:val="0070C0"/>
              </w:rPr>
              <w:t>“</w:t>
            </w:r>
            <w:r w:rsidR="00287368">
              <w:rPr>
                <w:color w:val="0070C0"/>
              </w:rPr>
              <w:t>steps.</w:t>
            </w:r>
            <w:r w:rsidR="00926A2E">
              <w:rPr>
                <w:color w:val="0070C0"/>
              </w:rPr>
              <w:t>”</w:t>
            </w:r>
            <w:r w:rsidR="00287368">
              <w:rPr>
                <w:color w:val="0070C0"/>
              </w:rPr>
              <w:t xml:space="preserve"> </w:t>
            </w:r>
          </w:p>
          <w:p w14:paraId="4FC6C238" w14:textId="768749E8" w:rsidR="00E63D1A" w:rsidRPr="002A1821" w:rsidRDefault="009D2CEE" w:rsidP="00BA599F">
            <w:pPr>
              <w:shd w:val="clear" w:color="auto" w:fill="FFFFFF"/>
              <w:spacing w:after="120"/>
              <w:ind w:left="68"/>
              <w:rPr>
                <w:bCs w:val="0"/>
                <w:color w:val="0070C0"/>
              </w:rPr>
            </w:pPr>
            <w:r w:rsidRPr="002A1821">
              <w:rPr>
                <w:color w:val="0070C0"/>
              </w:rPr>
              <w:t xml:space="preserve">The DT believes the aforementioned footnote regarding compliance enforcement will address </w:t>
            </w:r>
            <w:r w:rsidR="00823036">
              <w:rPr>
                <w:color w:val="0070C0"/>
              </w:rPr>
              <w:t xml:space="preserve">Reclamation’s </w:t>
            </w:r>
            <w:r w:rsidRPr="002A1821">
              <w:rPr>
                <w:color w:val="0070C0"/>
              </w:rPr>
              <w:t>concern</w:t>
            </w:r>
            <w:r w:rsidR="00823036">
              <w:rPr>
                <w:color w:val="0070C0"/>
              </w:rPr>
              <w:t xml:space="preserve"> regarding compliance confusion.</w:t>
            </w:r>
            <w:r w:rsidR="00216976">
              <w:rPr>
                <w:color w:val="0070C0"/>
              </w:rPr>
              <w:t xml:space="preserve"> </w:t>
            </w:r>
            <w:r w:rsidR="00823036">
              <w:rPr>
                <w:color w:val="0070C0"/>
              </w:rPr>
              <w:t>Use of the term “steps” is an excellent choice; however, it fails to convey the mandatory nature of the task</w:t>
            </w:r>
            <w:r w:rsidR="00F31B41">
              <w:rPr>
                <w:color w:val="0070C0"/>
              </w:rPr>
              <w:t>.</w:t>
            </w:r>
            <w:r w:rsidR="00216976">
              <w:rPr>
                <w:color w:val="0070C0"/>
              </w:rPr>
              <w:t xml:space="preserve"> </w:t>
            </w:r>
          </w:p>
          <w:p w14:paraId="2A351405" w14:textId="06A2DCF3" w:rsidR="009D2CEE" w:rsidRPr="002A1821" w:rsidRDefault="00E63D1A" w:rsidP="00BA599F">
            <w:pPr>
              <w:shd w:val="clear" w:color="auto" w:fill="FFFFFF"/>
              <w:spacing w:after="120"/>
              <w:ind w:left="68"/>
              <w:rPr>
                <w:color w:val="0070C0"/>
              </w:rPr>
            </w:pPr>
            <w:r w:rsidRPr="002A1821">
              <w:rPr>
                <w:color w:val="0070C0"/>
              </w:rPr>
              <w:t xml:space="preserve">In contrast to a Reliability Standard, failure to complete </w:t>
            </w:r>
            <w:r w:rsidR="00926A2E">
              <w:rPr>
                <w:color w:val="0070C0"/>
              </w:rPr>
              <w:t xml:space="preserve">a </w:t>
            </w:r>
            <w:r w:rsidRPr="002A1821">
              <w:rPr>
                <w:color w:val="0070C0"/>
              </w:rPr>
              <w:t xml:space="preserve">requirement </w:t>
            </w:r>
            <w:r w:rsidR="00926A2E">
              <w:rPr>
                <w:color w:val="0070C0"/>
              </w:rPr>
              <w:t xml:space="preserve">called for in the Process </w:t>
            </w:r>
            <w:r w:rsidRPr="002A1821">
              <w:rPr>
                <w:color w:val="0070C0"/>
              </w:rPr>
              <w:t xml:space="preserve">will not result in </w:t>
            </w:r>
            <w:r w:rsidR="00BD7A6A" w:rsidRPr="002A1821">
              <w:rPr>
                <w:color w:val="0070C0"/>
              </w:rPr>
              <w:t xml:space="preserve">fines or penalties; rather, failure to complete a </w:t>
            </w:r>
            <w:r w:rsidR="00611EB5">
              <w:rPr>
                <w:color w:val="0070C0"/>
              </w:rPr>
              <w:t>Pr</w:t>
            </w:r>
            <w:r w:rsidR="00BD7A6A" w:rsidRPr="002A1821">
              <w:rPr>
                <w:color w:val="0070C0"/>
              </w:rPr>
              <w:t>ocess requirement simply means</w:t>
            </w:r>
            <w:r w:rsidR="002703EA">
              <w:rPr>
                <w:color w:val="0070C0"/>
              </w:rPr>
              <w:t xml:space="preserve"> that approval of the </w:t>
            </w:r>
            <w:r w:rsidR="00BD7A6A" w:rsidRPr="002A1821">
              <w:rPr>
                <w:color w:val="0070C0"/>
              </w:rPr>
              <w:t xml:space="preserve">Requesting Entity’s request </w:t>
            </w:r>
            <w:r w:rsidR="002703EA">
              <w:rPr>
                <w:color w:val="0070C0"/>
              </w:rPr>
              <w:t>will be jeopardized.</w:t>
            </w:r>
            <w:r w:rsidR="00216976">
              <w:rPr>
                <w:color w:val="0070C0"/>
              </w:rPr>
              <w:t xml:space="preserve"> </w:t>
            </w:r>
          </w:p>
          <w:p w14:paraId="2DEDA4E0" w14:textId="77777777" w:rsidR="009D2CEE" w:rsidRPr="002A1821" w:rsidRDefault="009D2CEE" w:rsidP="00BA599F">
            <w:pPr>
              <w:shd w:val="clear" w:color="auto" w:fill="FFFFFF"/>
              <w:spacing w:after="120"/>
              <w:ind w:left="68"/>
              <w:rPr>
                <w:b/>
                <w:color w:val="0070C0"/>
              </w:rPr>
            </w:pPr>
            <w:r w:rsidRPr="002A1821">
              <w:rPr>
                <w:b/>
                <w:color w:val="0070C0"/>
              </w:rPr>
              <w:t>Specific vs Generic</w:t>
            </w:r>
          </w:p>
          <w:p w14:paraId="3B559FF9" w14:textId="77777777" w:rsidR="009D2CEE" w:rsidRPr="002A1821" w:rsidRDefault="009D2CEE" w:rsidP="00BA599F">
            <w:pPr>
              <w:shd w:val="clear" w:color="auto" w:fill="FFFFFF"/>
              <w:spacing w:after="120"/>
              <w:ind w:left="68"/>
              <w:rPr>
                <w:color w:val="0070C0"/>
              </w:rPr>
            </w:pPr>
            <w:r w:rsidRPr="002A1821">
              <w:rPr>
                <w:color w:val="0070C0"/>
              </w:rPr>
              <w:t>Reclamation suggests “defining what constitutes specific and generic notice” for purposes of R2 and R3.</w:t>
            </w:r>
          </w:p>
          <w:p w14:paraId="184791AE" w14:textId="096B762C" w:rsidR="000B6418" w:rsidRPr="002A1821" w:rsidRDefault="009D2CEE" w:rsidP="00BA599F">
            <w:pPr>
              <w:shd w:val="clear" w:color="auto" w:fill="FFFFFF"/>
              <w:spacing w:after="120"/>
              <w:ind w:left="68"/>
              <w:rPr>
                <w:bCs w:val="0"/>
                <w:color w:val="0070C0"/>
              </w:rPr>
            </w:pPr>
            <w:r w:rsidRPr="002A1821">
              <w:rPr>
                <w:color w:val="0070C0"/>
              </w:rPr>
              <w:t>The DT believes this concern is already addressed in R2 and R3</w:t>
            </w:r>
            <w:r w:rsidR="000B6418" w:rsidRPr="002A1821">
              <w:rPr>
                <w:color w:val="0070C0"/>
              </w:rPr>
              <w:t>, both by application of the common definition of those terms as well as the differentiated structure of the two requirements.</w:t>
            </w:r>
            <w:r w:rsidR="00216976">
              <w:rPr>
                <w:color w:val="0070C0"/>
              </w:rPr>
              <w:t xml:space="preserve"> </w:t>
            </w:r>
          </w:p>
          <w:p w14:paraId="18C3B390" w14:textId="6B0B3BEA" w:rsidR="009D2CEE" w:rsidRPr="002A1821" w:rsidRDefault="00216976" w:rsidP="00BA599F">
            <w:pPr>
              <w:shd w:val="clear" w:color="auto" w:fill="FFFFFF"/>
              <w:spacing w:after="120"/>
              <w:ind w:left="68"/>
              <w:rPr>
                <w:color w:val="0070C0"/>
              </w:rPr>
            </w:pPr>
            <w:r>
              <w:rPr>
                <w:color w:val="0070C0"/>
              </w:rPr>
              <w:t xml:space="preserve"> </w:t>
            </w:r>
            <w:r w:rsidR="009D2CEE" w:rsidRPr="002A1821">
              <w:rPr>
                <w:color w:val="0070C0"/>
              </w:rPr>
              <w:t xml:space="preserve">R2 is </w:t>
            </w:r>
            <w:r w:rsidR="009D2CEE" w:rsidRPr="002A1821">
              <w:rPr>
                <w:i/>
                <w:iCs/>
                <w:color w:val="0070C0"/>
              </w:rPr>
              <w:t xml:space="preserve">specific </w:t>
            </w:r>
            <w:r w:rsidR="009D2CEE" w:rsidRPr="002A1821">
              <w:rPr>
                <w:color w:val="0070C0"/>
              </w:rPr>
              <w:t xml:space="preserve">in that it requires that three </w:t>
            </w:r>
            <w:r w:rsidR="009D2CEE" w:rsidRPr="002A1821">
              <w:rPr>
                <w:i/>
                <w:iCs/>
                <w:color w:val="0070C0"/>
              </w:rPr>
              <w:t>specific</w:t>
            </w:r>
            <w:r w:rsidR="009D2CEE" w:rsidRPr="002A1821">
              <w:rPr>
                <w:color w:val="0070C0"/>
              </w:rPr>
              <w:t xml:space="preserve"> entities be notified.</w:t>
            </w:r>
            <w:r>
              <w:rPr>
                <w:color w:val="0070C0"/>
              </w:rPr>
              <w:t xml:space="preserve"> </w:t>
            </w:r>
            <w:r w:rsidR="009D2CEE" w:rsidRPr="002A1821">
              <w:rPr>
                <w:color w:val="0070C0"/>
              </w:rPr>
              <w:t xml:space="preserve">Those entities are </w:t>
            </w:r>
            <w:r w:rsidR="009D2CEE" w:rsidRPr="002A1821">
              <w:rPr>
                <w:i/>
                <w:iCs/>
                <w:color w:val="0070C0"/>
              </w:rPr>
              <w:t>specifically</w:t>
            </w:r>
            <w:r w:rsidR="009D2CEE" w:rsidRPr="002A1821">
              <w:rPr>
                <w:color w:val="0070C0"/>
              </w:rPr>
              <w:t xml:space="preserve"> listed in R2.2.1 through 2.3.</w:t>
            </w:r>
          </w:p>
          <w:p w14:paraId="07DD62B6" w14:textId="6FBAA3E9" w:rsidR="009D2CEE" w:rsidRPr="002A1821" w:rsidRDefault="009D2CEE" w:rsidP="00BA599F">
            <w:pPr>
              <w:shd w:val="clear" w:color="auto" w:fill="FFFFFF"/>
              <w:spacing w:after="120"/>
              <w:ind w:left="68"/>
              <w:rPr>
                <w:color w:val="0070C0"/>
              </w:rPr>
            </w:pPr>
            <w:r w:rsidRPr="002A1821">
              <w:rPr>
                <w:color w:val="0070C0"/>
              </w:rPr>
              <w:t xml:space="preserve">By contrast, in R3, notice is given </w:t>
            </w:r>
            <w:r w:rsidRPr="002A1821">
              <w:rPr>
                <w:i/>
                <w:iCs/>
                <w:color w:val="0070C0"/>
              </w:rPr>
              <w:t>generically</w:t>
            </w:r>
            <w:r w:rsidRPr="002A1821">
              <w:rPr>
                <w:color w:val="0070C0"/>
              </w:rPr>
              <w:t xml:space="preserve"> to any entity subscribed to the WECC Standards Email List – currently standing at </w:t>
            </w:r>
            <w:r w:rsidR="005C4DB3" w:rsidRPr="002A1821">
              <w:rPr>
                <w:color w:val="0070C0"/>
              </w:rPr>
              <w:t>450</w:t>
            </w:r>
            <w:r w:rsidRPr="002A1821">
              <w:rPr>
                <w:color w:val="0070C0"/>
              </w:rPr>
              <w:t xml:space="preserve"> subscribers.</w:t>
            </w:r>
            <w:r w:rsidR="00216976">
              <w:rPr>
                <w:color w:val="0070C0"/>
              </w:rPr>
              <w:t xml:space="preserve"> </w:t>
            </w:r>
          </w:p>
          <w:p w14:paraId="245C2148" w14:textId="351642EA" w:rsidR="0043393A" w:rsidRPr="002A1821" w:rsidRDefault="009D2CEE" w:rsidP="00BA599F">
            <w:pPr>
              <w:shd w:val="clear" w:color="auto" w:fill="FFFFFF"/>
              <w:spacing w:after="120"/>
              <w:ind w:left="68"/>
              <w:rPr>
                <w:color w:val="0070C0"/>
              </w:rPr>
            </w:pPr>
            <w:r w:rsidRPr="002A1821">
              <w:rPr>
                <w:color w:val="0070C0"/>
              </w:rPr>
              <w:t xml:space="preserve">Whereas R2 </w:t>
            </w:r>
            <w:r w:rsidRPr="002A1821">
              <w:rPr>
                <w:i/>
                <w:iCs/>
                <w:color w:val="0070C0"/>
              </w:rPr>
              <w:t>specifically</w:t>
            </w:r>
            <w:r w:rsidRPr="002A1821">
              <w:rPr>
                <w:color w:val="0070C0"/>
              </w:rPr>
              <w:t xml:space="preserve"> identifies three entities, R3 identifies no specific entity; rather, notice is </w:t>
            </w:r>
            <w:r w:rsidRPr="002A1821">
              <w:rPr>
                <w:i/>
                <w:iCs/>
                <w:color w:val="0070C0"/>
              </w:rPr>
              <w:t>generically</w:t>
            </w:r>
            <w:r w:rsidRPr="002A1821">
              <w:rPr>
                <w:color w:val="0070C0"/>
              </w:rPr>
              <w:t xml:space="preserve"> provided via a mailing list.</w:t>
            </w:r>
            <w:r w:rsidR="00216976">
              <w:rPr>
                <w:color w:val="0070C0"/>
              </w:rPr>
              <w:t xml:space="preserve"> </w:t>
            </w:r>
            <w:r w:rsidR="00BD7A6A" w:rsidRPr="002A1821">
              <w:rPr>
                <w:color w:val="0070C0"/>
              </w:rPr>
              <w:t>No change was made.</w:t>
            </w:r>
          </w:p>
          <w:p w14:paraId="499E2687" w14:textId="3BF70BAB" w:rsidR="009D2CEE" w:rsidRPr="002A1821" w:rsidRDefault="009D2CEE" w:rsidP="00BA599F">
            <w:pPr>
              <w:shd w:val="clear" w:color="auto" w:fill="FFFFFF"/>
              <w:spacing w:after="120"/>
              <w:ind w:left="68"/>
              <w:rPr>
                <w:b/>
                <w:color w:val="0070C0"/>
              </w:rPr>
            </w:pPr>
            <w:r w:rsidRPr="002A1821">
              <w:rPr>
                <w:b/>
                <w:color w:val="0070C0"/>
              </w:rPr>
              <w:t>Special Note</w:t>
            </w:r>
            <w:r w:rsidR="00391626">
              <w:rPr>
                <w:b/>
                <w:color w:val="0070C0"/>
              </w:rPr>
              <w:t xml:space="preserve">/Two Lists </w:t>
            </w:r>
          </w:p>
          <w:p w14:paraId="48E903D3" w14:textId="6B89C8E6" w:rsidR="009D2CEE" w:rsidRPr="002A1821" w:rsidRDefault="009D2CEE" w:rsidP="00BA599F">
            <w:pPr>
              <w:shd w:val="clear" w:color="auto" w:fill="FFFFFF"/>
              <w:spacing w:after="120"/>
              <w:ind w:left="68"/>
              <w:rPr>
                <w:bCs w:val="0"/>
                <w:color w:val="0070C0"/>
              </w:rPr>
            </w:pPr>
            <w:r w:rsidRPr="002A1821">
              <w:rPr>
                <w:color w:val="0070C0"/>
              </w:rPr>
              <w:t xml:space="preserve">Reclamation raises concerns regarding the </w:t>
            </w:r>
            <w:r w:rsidR="00791F9C" w:rsidRPr="002A1821">
              <w:rPr>
                <w:color w:val="0070C0"/>
              </w:rPr>
              <w:t xml:space="preserve">proposed </w:t>
            </w:r>
            <w:r w:rsidRPr="002A1821">
              <w:rPr>
                <w:color w:val="0070C0"/>
              </w:rPr>
              <w:t xml:space="preserve">language contained in the Background and Guidance Section: </w:t>
            </w:r>
          </w:p>
          <w:p w14:paraId="2E44914B" w14:textId="77777777" w:rsidR="009D2CEE" w:rsidRPr="002A1821" w:rsidRDefault="009D2CEE" w:rsidP="00BA599F">
            <w:pPr>
              <w:shd w:val="clear" w:color="auto" w:fill="FFFFFF"/>
              <w:spacing w:after="120"/>
              <w:ind w:left="698"/>
              <w:rPr>
                <w:color w:val="0070C0"/>
              </w:rPr>
            </w:pPr>
            <w:r w:rsidRPr="002A1821">
              <w:rPr>
                <w:color w:val="0070C0"/>
              </w:rPr>
              <w:t>“Special Note: Although the content of the Table and the WECC Path Rating Catalog (Catalog) are similar, changes made to either document are governed by two separate processes. Changes to the Table are governed by this Process. Changes made to the Catalog are governed by processes outside of this document.</w:t>
            </w:r>
            <w:r w:rsidRPr="002A1821">
              <w:rPr>
                <w:color w:val="0070C0"/>
                <w:vertAlign w:val="superscript"/>
              </w:rPr>
              <w:footnoteReference w:id="1"/>
            </w:r>
            <w:r w:rsidRPr="002A1821">
              <w:rPr>
                <w:color w:val="0070C0"/>
              </w:rPr>
              <w:t xml:space="preserve"> A change made to the Table does not make a change to the Catalog. A change made to the Catalog does not make a change to the Table.”</w:t>
            </w:r>
          </w:p>
          <w:p w14:paraId="1786A358" w14:textId="3F5AF050" w:rsidR="009D2CEE" w:rsidRPr="002A1821" w:rsidRDefault="009D2CEE" w:rsidP="00BA599F">
            <w:pPr>
              <w:shd w:val="clear" w:color="auto" w:fill="FFFFFF"/>
              <w:spacing w:after="120"/>
              <w:ind w:left="68"/>
              <w:rPr>
                <w:color w:val="0070C0"/>
              </w:rPr>
            </w:pPr>
            <w:r w:rsidRPr="002A1821">
              <w:rPr>
                <w:color w:val="0070C0"/>
              </w:rPr>
              <w:t xml:space="preserve">Reclamation states: </w:t>
            </w:r>
          </w:p>
          <w:p w14:paraId="23352A2E" w14:textId="126556E8" w:rsidR="009D2CEE" w:rsidRPr="002A1821" w:rsidRDefault="009D2CEE" w:rsidP="00BA599F">
            <w:pPr>
              <w:shd w:val="clear" w:color="auto" w:fill="FFFFFF"/>
              <w:spacing w:after="120"/>
              <w:ind w:left="698"/>
              <w:rPr>
                <w:bCs w:val="0"/>
                <w:color w:val="0070C0"/>
              </w:rPr>
            </w:pPr>
            <w:r w:rsidRPr="002A1821">
              <w:rPr>
                <w:color w:val="0070C0"/>
              </w:rPr>
              <w:t xml:space="preserve">“Reclamation recommends not having two separate lists of substantially similar items as it will likely cause confusion when one is updated and the other is not, i.e., removing a path from the “Table” but not removing the same path from the Catalog.” </w:t>
            </w:r>
          </w:p>
          <w:p w14:paraId="18D86B07" w14:textId="77777777" w:rsidR="00F31B41" w:rsidRDefault="009D2CEE" w:rsidP="00BA599F">
            <w:pPr>
              <w:shd w:val="clear" w:color="auto" w:fill="FFFFFF"/>
              <w:spacing w:after="120"/>
              <w:ind w:left="68"/>
              <w:rPr>
                <w:bCs w:val="0"/>
                <w:color w:val="0070C0"/>
              </w:rPr>
            </w:pPr>
            <w:r w:rsidRPr="002A1821">
              <w:rPr>
                <w:color w:val="0070C0"/>
              </w:rPr>
              <w:t>The DT concurs with Reclamation in that two lists will likely result.</w:t>
            </w:r>
          </w:p>
          <w:p w14:paraId="715082CB" w14:textId="22BEFC58" w:rsidR="00C51757" w:rsidRDefault="00391626" w:rsidP="00BA599F">
            <w:pPr>
              <w:shd w:val="clear" w:color="auto" w:fill="FFFFFF"/>
              <w:spacing w:after="120"/>
              <w:ind w:left="68"/>
              <w:rPr>
                <w:bCs w:val="0"/>
                <w:color w:val="0070C0"/>
              </w:rPr>
            </w:pPr>
            <w:r>
              <w:rPr>
                <w:color w:val="0070C0"/>
              </w:rPr>
              <w:t xml:space="preserve">The </w:t>
            </w:r>
            <w:r w:rsidR="009D2CEE" w:rsidRPr="002A1821">
              <w:rPr>
                <w:color w:val="0070C0"/>
              </w:rPr>
              <w:t>DT finds this an acceptable outcome as the WECC Path Rating Catalogue (</w:t>
            </w:r>
            <w:r w:rsidR="00742144">
              <w:rPr>
                <w:color w:val="0070C0"/>
              </w:rPr>
              <w:t xml:space="preserve">containing a similar list created via a </w:t>
            </w:r>
            <w:r w:rsidR="009D2CEE" w:rsidRPr="002A1821">
              <w:rPr>
                <w:color w:val="0070C0"/>
              </w:rPr>
              <w:t xml:space="preserve">voluntary process) and the mandatory Standards in which the Table is referred have distinctly different purposes, and are governed by distinctly different development processes, </w:t>
            </w:r>
            <w:r w:rsidR="002703EA" w:rsidRPr="002A1821">
              <w:rPr>
                <w:color w:val="0070C0"/>
              </w:rPr>
              <w:t>which</w:t>
            </w:r>
            <w:r w:rsidR="009D2CEE" w:rsidRPr="002A1821">
              <w:rPr>
                <w:color w:val="0070C0"/>
              </w:rPr>
              <w:t xml:space="preserve"> are engaged through participation in separate forums.</w:t>
            </w:r>
          </w:p>
          <w:p w14:paraId="0D926F5A" w14:textId="697247CA" w:rsidR="00B518D4" w:rsidRPr="002A1821" w:rsidRDefault="009D2CEE" w:rsidP="00BA599F">
            <w:pPr>
              <w:shd w:val="clear" w:color="auto" w:fill="FFFFFF"/>
              <w:spacing w:after="120"/>
              <w:ind w:left="68"/>
              <w:rPr>
                <w:bCs w:val="0"/>
                <w:color w:val="0070C0"/>
              </w:rPr>
            </w:pPr>
            <w:r w:rsidRPr="002A1821">
              <w:rPr>
                <w:color w:val="0070C0"/>
              </w:rPr>
              <w:t xml:space="preserve">This clear differential </w:t>
            </w:r>
            <w:r w:rsidR="00F31B41">
              <w:rPr>
                <w:color w:val="0070C0"/>
              </w:rPr>
              <w:t xml:space="preserve">of process </w:t>
            </w:r>
            <w:r w:rsidRPr="002A1821">
              <w:rPr>
                <w:color w:val="0070C0"/>
              </w:rPr>
              <w:t xml:space="preserve">should </w:t>
            </w:r>
            <w:r w:rsidR="00135202" w:rsidRPr="002A1821">
              <w:rPr>
                <w:color w:val="0070C0"/>
              </w:rPr>
              <w:t>focus the audience</w:t>
            </w:r>
            <w:r w:rsidR="00BD7A6A" w:rsidRPr="002A1821">
              <w:rPr>
                <w:color w:val="0070C0"/>
              </w:rPr>
              <w:t xml:space="preserve">’s understanding of the actions they are taking </w:t>
            </w:r>
            <w:r w:rsidR="00135202" w:rsidRPr="002A1821">
              <w:rPr>
                <w:color w:val="0070C0"/>
              </w:rPr>
              <w:t xml:space="preserve">and </w:t>
            </w:r>
            <w:r w:rsidRPr="002A1821">
              <w:rPr>
                <w:color w:val="0070C0"/>
              </w:rPr>
              <w:t>lessen any confusion</w:t>
            </w:r>
            <w:r w:rsidR="00135202" w:rsidRPr="002A1821">
              <w:rPr>
                <w:color w:val="0070C0"/>
              </w:rPr>
              <w:t xml:space="preserve">, </w:t>
            </w:r>
            <w:r w:rsidRPr="002A1821">
              <w:rPr>
                <w:color w:val="0070C0"/>
              </w:rPr>
              <w:t xml:space="preserve">as </w:t>
            </w:r>
            <w:r w:rsidR="00135202" w:rsidRPr="002A1821">
              <w:rPr>
                <w:color w:val="0070C0"/>
              </w:rPr>
              <w:t xml:space="preserve">is </w:t>
            </w:r>
            <w:r w:rsidRPr="002A1821">
              <w:rPr>
                <w:color w:val="0070C0"/>
              </w:rPr>
              <w:t>the intent of the Special Note.</w:t>
            </w:r>
          </w:p>
          <w:p w14:paraId="77232D46" w14:textId="506B121D" w:rsidR="005A1B26" w:rsidRPr="002A1821" w:rsidRDefault="005A1B26" w:rsidP="00BA599F">
            <w:pPr>
              <w:shd w:val="clear" w:color="auto" w:fill="FFFFFF"/>
              <w:spacing w:after="120"/>
              <w:ind w:left="68"/>
              <w:rPr>
                <w:b/>
                <w:bCs w:val="0"/>
                <w:color w:val="0070C0"/>
              </w:rPr>
            </w:pPr>
            <w:r w:rsidRPr="002A1821">
              <w:rPr>
                <w:b/>
                <w:bCs w:val="0"/>
                <w:color w:val="0070C0"/>
              </w:rPr>
              <w:t>Procedural vs. Substantive – Request for Definition</w:t>
            </w:r>
          </w:p>
          <w:p w14:paraId="1DB3EE72" w14:textId="70912C84" w:rsidR="005A1B26" w:rsidRPr="002A1821" w:rsidRDefault="005A1B26" w:rsidP="00BA599F">
            <w:pPr>
              <w:shd w:val="clear" w:color="auto" w:fill="FFFFFF"/>
              <w:spacing w:after="120"/>
              <w:ind w:left="68"/>
              <w:rPr>
                <w:color w:val="0070C0"/>
              </w:rPr>
            </w:pPr>
            <w:r w:rsidRPr="002A1821">
              <w:rPr>
                <w:bCs w:val="0"/>
                <w:color w:val="0070C0"/>
              </w:rPr>
              <w:t>Reclamation states, “Procedural and substantive concerns do not appear to be defined anywhere.</w:t>
            </w:r>
            <w:r w:rsidR="00216976">
              <w:rPr>
                <w:bCs w:val="0"/>
                <w:color w:val="0070C0"/>
              </w:rPr>
              <w:t xml:space="preserve"> </w:t>
            </w:r>
            <w:r w:rsidRPr="002A1821">
              <w:rPr>
                <w:bCs w:val="0"/>
                <w:color w:val="0070C0"/>
              </w:rPr>
              <w:t xml:space="preserve">Suggest defining </w:t>
            </w:r>
            <w:r w:rsidR="0098286B" w:rsidRPr="002A1821">
              <w:rPr>
                <w:bCs w:val="0"/>
                <w:color w:val="0070C0"/>
              </w:rPr>
              <w:t xml:space="preserve">what constitutes each type of concern and identifying who would raise and/or appeal those concern.” </w:t>
            </w:r>
          </w:p>
          <w:p w14:paraId="0E6FA475" w14:textId="7BF84549" w:rsidR="0043393A" w:rsidRDefault="00F61813" w:rsidP="00BA599F">
            <w:pPr>
              <w:shd w:val="clear" w:color="auto" w:fill="FFFFFF"/>
              <w:spacing w:after="120"/>
              <w:ind w:left="68"/>
              <w:rPr>
                <w:bCs w:val="0"/>
                <w:color w:val="0070C0"/>
              </w:rPr>
            </w:pPr>
            <w:r w:rsidRPr="002A1821">
              <w:rPr>
                <w:color w:val="0070C0"/>
              </w:rPr>
              <w:t>The DT concluded that defining procedural versus substantive is not necessary.</w:t>
            </w:r>
            <w:r w:rsidR="00216976">
              <w:rPr>
                <w:color w:val="0070C0"/>
              </w:rPr>
              <w:t xml:space="preserve"> </w:t>
            </w:r>
            <w:r w:rsidRPr="002A1821">
              <w:rPr>
                <w:color w:val="0070C0"/>
              </w:rPr>
              <w:t>Rather, common definitions meet the need.</w:t>
            </w:r>
            <w:r w:rsidR="00216976">
              <w:rPr>
                <w:color w:val="0070C0"/>
              </w:rPr>
              <w:t xml:space="preserve"> </w:t>
            </w:r>
          </w:p>
          <w:p w14:paraId="549D6EE7" w14:textId="18ADF22C" w:rsidR="00611EB5" w:rsidRDefault="005D3F69" w:rsidP="00BA599F">
            <w:pPr>
              <w:shd w:val="clear" w:color="auto" w:fill="FFFFFF"/>
              <w:spacing w:after="120"/>
              <w:ind w:left="68"/>
              <w:rPr>
                <w:rFonts w:asciiTheme="minorHAnsi" w:hAnsiTheme="minorHAnsi"/>
                <w:bCs w:val="0"/>
                <w:color w:val="0070C0"/>
                <w:sz w:val="21"/>
                <w:szCs w:val="21"/>
                <w:shd w:val="clear" w:color="auto" w:fill="FFFFFF"/>
              </w:rPr>
            </w:pPr>
            <w:r w:rsidRPr="002A1821">
              <w:rPr>
                <w:color w:val="0070C0"/>
              </w:rPr>
              <w:t>For</w:t>
            </w:r>
            <w:r w:rsidR="00BD7A6A" w:rsidRPr="002A1821">
              <w:rPr>
                <w:color w:val="0070C0"/>
              </w:rPr>
              <w:t xml:space="preserve"> example, </w:t>
            </w:r>
            <w:r w:rsidRPr="002A1821">
              <w:rPr>
                <w:color w:val="0070C0"/>
              </w:rPr>
              <w:t xml:space="preserve">the </w:t>
            </w:r>
            <w:r w:rsidR="00F61813" w:rsidRPr="002A1821">
              <w:rPr>
                <w:color w:val="0070C0"/>
              </w:rPr>
              <w:t>Oxford dictionary defines substantive</w:t>
            </w:r>
            <w:r w:rsidRPr="002A1821">
              <w:rPr>
                <w:color w:val="0070C0"/>
              </w:rPr>
              <w:t xml:space="preserve"> as: </w:t>
            </w:r>
            <w:r w:rsidRPr="002A1821">
              <w:rPr>
                <w:rFonts w:asciiTheme="minorHAnsi" w:hAnsiTheme="minorHAnsi"/>
                <w:color w:val="0070C0"/>
                <w:sz w:val="21"/>
                <w:szCs w:val="21"/>
                <w:shd w:val="clear" w:color="auto" w:fill="FFFFFF"/>
              </w:rPr>
              <w:t>“(of law) defining rights and duties as opposed to giving the rules by which such things are established.”</w:t>
            </w:r>
            <w:r w:rsidR="00216976">
              <w:rPr>
                <w:rFonts w:asciiTheme="minorHAnsi" w:hAnsiTheme="minorHAnsi"/>
                <w:color w:val="0070C0"/>
                <w:sz w:val="21"/>
                <w:szCs w:val="21"/>
                <w:shd w:val="clear" w:color="auto" w:fill="FFFFFF"/>
              </w:rPr>
              <w:t xml:space="preserve"> </w:t>
            </w:r>
            <w:r w:rsidRPr="002A1821">
              <w:rPr>
                <w:rFonts w:asciiTheme="minorHAnsi" w:hAnsiTheme="minorHAnsi"/>
                <w:color w:val="0070C0"/>
                <w:sz w:val="21"/>
                <w:szCs w:val="21"/>
                <w:shd w:val="clear" w:color="auto" w:fill="FFFFFF"/>
              </w:rPr>
              <w:t>The first half of the definition describes substantive issues whereas the latter half described procedural issues.</w:t>
            </w:r>
            <w:r w:rsidR="00611EB5">
              <w:rPr>
                <w:rFonts w:asciiTheme="minorHAnsi" w:hAnsiTheme="minorHAnsi"/>
                <w:color w:val="0070C0"/>
                <w:sz w:val="21"/>
                <w:szCs w:val="21"/>
                <w:shd w:val="clear" w:color="auto" w:fill="FFFFFF"/>
              </w:rPr>
              <w:t xml:space="preserve"> </w:t>
            </w:r>
          </w:p>
          <w:p w14:paraId="129E7DC3" w14:textId="53074312" w:rsidR="0025463C" w:rsidRPr="002A1821" w:rsidRDefault="0098286B" w:rsidP="00BA599F">
            <w:pPr>
              <w:shd w:val="clear" w:color="auto" w:fill="FFFFFF"/>
              <w:spacing w:after="120"/>
              <w:ind w:left="68"/>
              <w:rPr>
                <w:color w:val="0070C0"/>
              </w:rPr>
            </w:pPr>
            <w:r w:rsidRPr="002A1821">
              <w:rPr>
                <w:bCs w:val="0"/>
                <w:color w:val="0070C0"/>
              </w:rPr>
              <w:t>Neither R10 nor R11 specify who can raise a procedural (R10) or substantive (R11) concern.</w:t>
            </w:r>
            <w:r w:rsidR="00216976">
              <w:rPr>
                <w:bCs w:val="0"/>
                <w:color w:val="0070C0"/>
              </w:rPr>
              <w:t xml:space="preserve"> </w:t>
            </w:r>
            <w:r w:rsidRPr="002A1821">
              <w:rPr>
                <w:bCs w:val="0"/>
                <w:color w:val="0070C0"/>
              </w:rPr>
              <w:t>This is intentional.</w:t>
            </w:r>
            <w:r w:rsidR="00216976">
              <w:rPr>
                <w:bCs w:val="0"/>
                <w:color w:val="0070C0"/>
              </w:rPr>
              <w:t xml:space="preserve"> </w:t>
            </w:r>
            <w:r w:rsidRPr="002A1821">
              <w:rPr>
                <w:bCs w:val="0"/>
                <w:color w:val="0070C0"/>
              </w:rPr>
              <w:t xml:space="preserve">The DT concluded that </w:t>
            </w:r>
            <w:r w:rsidR="00F61813" w:rsidRPr="002A1821">
              <w:rPr>
                <w:bCs w:val="0"/>
                <w:color w:val="0070C0"/>
              </w:rPr>
              <w:t xml:space="preserve">limiting the right to a list of specific entities </w:t>
            </w:r>
            <w:r w:rsidRPr="002A1821">
              <w:rPr>
                <w:bCs w:val="0"/>
                <w:color w:val="0070C0"/>
              </w:rPr>
              <w:t>could inadvertently exclude an entity</w:t>
            </w:r>
            <w:r w:rsidR="0025463C" w:rsidRPr="002A1821">
              <w:rPr>
                <w:bCs w:val="0"/>
                <w:color w:val="0070C0"/>
              </w:rPr>
              <w:t xml:space="preserve"> from the </w:t>
            </w:r>
            <w:r w:rsidR="0034063B">
              <w:rPr>
                <w:bCs w:val="0"/>
                <w:color w:val="0070C0"/>
              </w:rPr>
              <w:t>P</w:t>
            </w:r>
            <w:r w:rsidR="0025463C" w:rsidRPr="002A1821">
              <w:rPr>
                <w:bCs w:val="0"/>
                <w:color w:val="0070C0"/>
              </w:rPr>
              <w:t xml:space="preserve">rocess and unintentionally prohibit issues from being raised. </w:t>
            </w:r>
          </w:p>
          <w:p w14:paraId="4858F13C" w14:textId="496BC9A2" w:rsidR="002703EA" w:rsidRPr="005B679F" w:rsidRDefault="00A90E38" w:rsidP="00BA599F">
            <w:pPr>
              <w:shd w:val="clear" w:color="auto" w:fill="FFFFFF"/>
              <w:spacing w:after="120"/>
              <w:ind w:left="68"/>
              <w:rPr>
                <w:color w:val="0070C0"/>
              </w:rPr>
            </w:pPr>
            <w:r w:rsidRPr="002A1821">
              <w:rPr>
                <w:color w:val="0070C0"/>
              </w:rPr>
              <w:t xml:space="preserve">If approved, the </w:t>
            </w:r>
            <w:r w:rsidR="00611EB5">
              <w:rPr>
                <w:color w:val="0070C0"/>
              </w:rPr>
              <w:t xml:space="preserve">WECC Standards Committee (WSC) will own the Process document, whereas the </w:t>
            </w:r>
            <w:r w:rsidRPr="002A1821">
              <w:rPr>
                <w:color w:val="0070C0"/>
              </w:rPr>
              <w:t xml:space="preserve">WECC Board of Directors </w:t>
            </w:r>
            <w:r w:rsidR="00516938" w:rsidRPr="002A1821">
              <w:rPr>
                <w:color w:val="0070C0"/>
              </w:rPr>
              <w:t xml:space="preserve">(Board) </w:t>
            </w:r>
            <w:r w:rsidRPr="002A1821">
              <w:rPr>
                <w:color w:val="0070C0"/>
              </w:rPr>
              <w:t xml:space="preserve">will have oversight for </w:t>
            </w:r>
            <w:r w:rsidR="00611EB5">
              <w:rPr>
                <w:color w:val="0070C0"/>
              </w:rPr>
              <w:t>P</w:t>
            </w:r>
            <w:r w:rsidRPr="002A1821">
              <w:rPr>
                <w:color w:val="0070C0"/>
              </w:rPr>
              <w:t>rocess.</w:t>
            </w:r>
            <w:r w:rsidR="00216976">
              <w:rPr>
                <w:color w:val="0070C0"/>
              </w:rPr>
              <w:t xml:space="preserve"> </w:t>
            </w:r>
            <w:r w:rsidRPr="002A1821">
              <w:rPr>
                <w:color w:val="0070C0"/>
              </w:rPr>
              <w:t>As such</w:t>
            </w:r>
            <w:r w:rsidR="00516938" w:rsidRPr="002A1821">
              <w:rPr>
                <w:color w:val="0070C0"/>
              </w:rPr>
              <w:t>,</w:t>
            </w:r>
            <w:r w:rsidRPr="002A1821">
              <w:rPr>
                <w:color w:val="0070C0"/>
              </w:rPr>
              <w:t xml:space="preserve"> the appellate rights </w:t>
            </w:r>
            <w:r w:rsidR="00516938" w:rsidRPr="002A1821">
              <w:rPr>
                <w:color w:val="0070C0"/>
              </w:rPr>
              <w:t xml:space="preserve">provided </w:t>
            </w:r>
            <w:r w:rsidRPr="002A1821">
              <w:rPr>
                <w:color w:val="0070C0"/>
              </w:rPr>
              <w:t>with the Board prevail.</w:t>
            </w:r>
            <w:r>
              <w:rPr>
                <w:color w:val="0070C0"/>
              </w:rPr>
              <w:t xml:space="preserve"> </w:t>
            </w:r>
          </w:p>
        </w:tc>
      </w:tr>
    </w:tbl>
    <w:tbl>
      <w:tblPr>
        <w:tblStyle w:val="WECCTable11"/>
        <w:tblW w:w="9849" w:type="dxa"/>
        <w:tblLook w:val="04A0" w:firstRow="1" w:lastRow="0" w:firstColumn="1" w:lastColumn="0" w:noHBand="0" w:noVBand="1"/>
      </w:tblPr>
      <w:tblGrid>
        <w:gridCol w:w="2766"/>
        <w:gridCol w:w="7083"/>
      </w:tblGrid>
      <w:tr w:rsidR="00207C13" w:rsidRPr="00207C13" w14:paraId="63C686AB" w14:textId="77777777" w:rsidTr="00A00E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one" w:sz="0" w:space="0" w:color="auto"/>
            </w:tcBorders>
            <w:shd w:val="clear" w:color="auto" w:fill="auto"/>
          </w:tcPr>
          <w:bookmarkEnd w:id="4"/>
          <w:p w14:paraId="4AFC6142" w14:textId="211BE920" w:rsidR="00207C13" w:rsidRPr="00207C13" w:rsidRDefault="00207C13" w:rsidP="00207C13">
            <w:pPr>
              <w:spacing w:after="120" w:line="240" w:lineRule="auto"/>
              <w:contextualSpacing/>
              <w:rPr>
                <w:b w:val="0"/>
                <w:bCs w:val="0"/>
                <w:color w:val="auto"/>
              </w:rPr>
            </w:pPr>
            <w:r w:rsidRPr="00207C13">
              <w:rPr>
                <w:b w:val="0"/>
                <w:bCs w:val="0"/>
                <w:color w:val="auto"/>
              </w:rPr>
              <w:t>BPA</w:t>
            </w:r>
            <w:r w:rsidRPr="00207C13">
              <w:rPr>
                <w:b w:val="0"/>
                <w:bCs w:val="0"/>
                <w:color w:val="auto"/>
              </w:rPr>
              <w:tab/>
            </w:r>
          </w:p>
        </w:tc>
        <w:tc>
          <w:tcPr>
            <w:tcW w:w="7083" w:type="dxa"/>
            <w:shd w:val="clear" w:color="auto" w:fill="auto"/>
          </w:tcPr>
          <w:p w14:paraId="49452C55" w14:textId="1AF7A9B0" w:rsidR="008117E5"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pPr>
            <w:r w:rsidRPr="00A00E6E">
              <w:rPr>
                <w:b w:val="0"/>
                <w:bCs w:val="0"/>
                <w:color w:val="auto"/>
              </w:rPr>
              <w:t>Applicability, Footnote 3: BPA disagrees with the DT and does not support the concept that a Generator Owner can request the Reliability Coordinator to add a path to the Major Transfer Paths in the BES list. It is an over-step of GO function and could present as a conflict of interest. BPA believes this responsibility is inherent only to the TO, TOP, and RC function/registration.</w:t>
            </w:r>
          </w:p>
          <w:p w14:paraId="58EF118D" w14:textId="15526F52" w:rsidR="008F5FA1" w:rsidRPr="004A043C"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pPr>
            <w:r w:rsidRPr="004A043C">
              <w:rPr>
                <w:b w:val="0"/>
                <w:bCs w:val="0"/>
                <w:color w:val="auto"/>
              </w:rPr>
              <w:t>BPA finds this language confusing as to the level of detail needed to meet this step. BPA recommends adding a footnote that provides an example to show what level of detail constitutes a 'description'.</w:t>
            </w:r>
            <w:r w:rsidR="00216976">
              <w:rPr>
                <w:b w:val="0"/>
                <w:bCs w:val="0"/>
                <w:color w:val="auto"/>
              </w:rPr>
              <w:t xml:space="preserve"> </w:t>
            </w:r>
          </w:p>
          <w:p w14:paraId="697A7671" w14:textId="786BBC40" w:rsidR="00A00E6E" w:rsidRPr="00A00E6E"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4A043C">
              <w:rPr>
                <w:b w:val="0"/>
                <w:bCs w:val="0"/>
                <w:color w:val="auto"/>
              </w:rPr>
              <w:t xml:space="preserve">Along with the footnote, an expanded solution BPA recommends is, revising the language in R1.1.5. to state "If </w:t>
            </w:r>
            <w:r w:rsidRPr="009B5510">
              <w:rPr>
                <w:b w:val="0"/>
                <w:bCs w:val="0"/>
                <w:color w:val="auto"/>
              </w:rPr>
              <w:t>maintenance practices will change after a path removal, provide a description</w:t>
            </w:r>
            <w:r w:rsidR="009B5510" w:rsidRPr="009B5510">
              <w:rPr>
                <w:b w:val="0"/>
                <w:bCs w:val="0"/>
                <w:color w:val="auto"/>
              </w:rPr>
              <w:t xml:space="preserve"> </w:t>
            </w:r>
            <w:r w:rsidRPr="009B5510">
              <w:rPr>
                <w:b w:val="0"/>
                <w:bCs w:val="0"/>
                <w:color w:val="auto"/>
              </w:rPr>
              <w:t>(add footnote #</w:t>
            </w:r>
            <w:r w:rsidR="009B5510" w:rsidRPr="009B5510">
              <w:rPr>
                <w:b w:val="0"/>
                <w:bCs w:val="0"/>
                <w:color w:val="auto"/>
              </w:rPr>
              <w:t>)</w:t>
            </w:r>
            <w:r w:rsidR="00216976">
              <w:rPr>
                <w:b w:val="0"/>
                <w:bCs w:val="0"/>
                <w:color w:val="auto"/>
              </w:rPr>
              <w:t xml:space="preserve"> </w:t>
            </w:r>
            <w:r w:rsidRPr="004A043C">
              <w:rPr>
                <w:b w:val="0"/>
                <w:bCs w:val="0"/>
                <w:color w:val="auto"/>
              </w:rPr>
              <w:t>here) of the revised maintenance practices."</w:t>
            </w:r>
          </w:p>
          <w:p w14:paraId="25DB4028" w14:textId="239E2963" w:rsidR="00A00E6E" w:rsidRPr="00A00E6E"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A00E6E">
              <w:rPr>
                <w:b w:val="0"/>
                <w:bCs w:val="0"/>
                <w:color w:val="auto"/>
              </w:rPr>
              <w:t>R4.:</w:t>
            </w:r>
            <w:r w:rsidR="00216976">
              <w:rPr>
                <w:b w:val="0"/>
                <w:bCs w:val="0"/>
                <w:color w:val="auto"/>
              </w:rPr>
              <w:t xml:space="preserve"> </w:t>
            </w:r>
            <w:r w:rsidRPr="00A00E6E">
              <w:rPr>
                <w:b w:val="0"/>
                <w:bCs w:val="0"/>
                <w:color w:val="auto"/>
              </w:rPr>
              <w:t xml:space="preserve">For clarity, </w:t>
            </w:r>
            <w:r w:rsidRPr="009B5510">
              <w:rPr>
                <w:b w:val="0"/>
                <w:bCs w:val="0"/>
                <w:color w:val="auto"/>
              </w:rPr>
              <w:t>BPA recommends revising the language to add the word 'completed'. "Each Requesting Entity shall, at a minimum, provide the completed</w:t>
            </w:r>
            <w:r w:rsidR="00601110" w:rsidRPr="009B5510">
              <w:rPr>
                <w:b w:val="0"/>
                <w:bCs w:val="0"/>
                <w:color w:val="auto"/>
              </w:rPr>
              <w:t xml:space="preserve"> </w:t>
            </w:r>
            <w:r w:rsidRPr="009B5510">
              <w:rPr>
                <w:b w:val="0"/>
                <w:bCs w:val="0"/>
                <w:color w:val="auto"/>
              </w:rPr>
              <w:t>Requirement R1 technical study…"</w:t>
            </w:r>
          </w:p>
          <w:p w14:paraId="4B0233DD" w14:textId="5A812079" w:rsidR="00A00E6E" w:rsidRPr="00E8102D"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C16A82">
              <w:rPr>
                <w:b w:val="0"/>
                <w:bCs w:val="0"/>
                <w:color w:val="auto"/>
              </w:rPr>
              <w:t>R4.1.:</w:t>
            </w:r>
            <w:r w:rsidR="00216976">
              <w:rPr>
                <w:b w:val="0"/>
                <w:bCs w:val="0"/>
                <w:color w:val="auto"/>
              </w:rPr>
              <w:t xml:space="preserve"> </w:t>
            </w:r>
            <w:r w:rsidRPr="00C16A82">
              <w:rPr>
                <w:b w:val="0"/>
                <w:bCs w:val="0"/>
                <w:color w:val="auto"/>
              </w:rPr>
              <w:t>For clarity, BPA recommends revising the language to add</w:t>
            </w:r>
            <w:r w:rsidR="00C16A82" w:rsidRPr="00C16A82">
              <w:rPr>
                <w:b w:val="0"/>
                <w:bCs w:val="0"/>
                <w:color w:val="auto"/>
              </w:rPr>
              <w:t xml:space="preserve"> “</w:t>
            </w:r>
            <w:r w:rsidRPr="00C16A82">
              <w:rPr>
                <w:b w:val="0"/>
                <w:bCs w:val="0"/>
                <w:color w:val="auto"/>
              </w:rPr>
              <w:t>for the information</w:t>
            </w:r>
            <w:r w:rsidR="00C16A82">
              <w:rPr>
                <w:b w:val="0"/>
                <w:bCs w:val="0"/>
                <w:color w:val="auto"/>
              </w:rPr>
              <w:t>.</w:t>
            </w:r>
            <w:r w:rsidR="00C16A82" w:rsidRPr="00C16A82">
              <w:rPr>
                <w:b w:val="0"/>
                <w:bCs w:val="0"/>
                <w:color w:val="auto"/>
              </w:rPr>
              <w:t>”</w:t>
            </w:r>
          </w:p>
          <w:p w14:paraId="4F2BF0ED" w14:textId="46BB7E2A" w:rsidR="00207C13" w:rsidRPr="00207C13"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A00E6E">
              <w:rPr>
                <w:b w:val="0"/>
                <w:bCs w:val="0"/>
                <w:color w:val="auto"/>
              </w:rPr>
              <w:t>In addition to BPA's comments above, BPA also supports the comments submitted by the US Bureau of Reclamation.</w:t>
            </w:r>
            <w:r w:rsidR="00216976">
              <w:rPr>
                <w:b w:val="0"/>
                <w:bCs w:val="0"/>
                <w:color w:val="auto"/>
              </w:rPr>
              <w:t xml:space="preserve"> </w:t>
            </w:r>
            <w:r w:rsidRPr="00A00E6E">
              <w:rPr>
                <w:b w:val="0"/>
                <w:bCs w:val="0"/>
                <w:color w:val="auto"/>
              </w:rPr>
              <w:t>Thank you for your time and consideration.</w:t>
            </w:r>
          </w:p>
        </w:tc>
      </w:tr>
      <w:tr w:rsidR="00E40C03" w:rsidRPr="00E40C03" w14:paraId="2237698A" w14:textId="77777777" w:rsidTr="00184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9" w:type="dxa"/>
            <w:gridSpan w:val="2"/>
            <w:tcBorders>
              <w:bottom w:val="single" w:sz="4" w:space="0" w:color="auto"/>
            </w:tcBorders>
            <w:shd w:val="clear" w:color="auto" w:fill="auto"/>
          </w:tcPr>
          <w:p w14:paraId="7018CF96" w14:textId="4E9B751A" w:rsidR="004A043C" w:rsidRPr="00E8102D" w:rsidRDefault="00A00E6E" w:rsidP="00E8102D">
            <w:pPr>
              <w:spacing w:after="120"/>
              <w:ind w:left="84"/>
              <w:rPr>
                <w:b/>
                <w:bCs w:val="0"/>
                <w:color w:val="0070C0"/>
              </w:rPr>
            </w:pPr>
            <w:r w:rsidRPr="00E40C03">
              <w:rPr>
                <w:b/>
                <w:color w:val="0070C0"/>
              </w:rPr>
              <w:t xml:space="preserve">Applicability, </w:t>
            </w:r>
            <w:r w:rsidR="00611EB5">
              <w:rPr>
                <w:b/>
                <w:color w:val="0070C0"/>
              </w:rPr>
              <w:t xml:space="preserve">Posting </w:t>
            </w:r>
            <w:r w:rsidR="00695203">
              <w:rPr>
                <w:b/>
                <w:color w:val="0070C0"/>
              </w:rPr>
              <w:t>1</w:t>
            </w:r>
            <w:r w:rsidR="00611EB5">
              <w:rPr>
                <w:b/>
                <w:color w:val="0070C0"/>
              </w:rPr>
              <w:t xml:space="preserve">, </w:t>
            </w:r>
            <w:r w:rsidRPr="00E40C03">
              <w:rPr>
                <w:b/>
                <w:color w:val="0070C0"/>
              </w:rPr>
              <w:t>Footnote 3</w:t>
            </w:r>
            <w:r w:rsidR="00E40C03" w:rsidRPr="00E40C03">
              <w:rPr>
                <w:b/>
                <w:color w:val="0070C0"/>
              </w:rPr>
              <w:t xml:space="preserve"> - </w:t>
            </w:r>
            <w:r w:rsidRPr="00E40C03">
              <w:rPr>
                <w:b/>
                <w:color w:val="0070C0"/>
              </w:rPr>
              <w:t>Reliability Coordinator authority to Assist Generator Owner</w:t>
            </w:r>
          </w:p>
          <w:p w14:paraId="65DB6C65" w14:textId="30EF4BAB" w:rsidR="00794287" w:rsidRPr="00E8102D" w:rsidRDefault="00611EB5" w:rsidP="00E8102D">
            <w:pPr>
              <w:spacing w:after="120"/>
              <w:ind w:left="84"/>
              <w:rPr>
                <w:bCs w:val="0"/>
                <w:color w:val="0070C0"/>
              </w:rPr>
            </w:pPr>
            <w:r w:rsidRPr="00794287">
              <w:rPr>
                <w:color w:val="0070C0"/>
              </w:rPr>
              <w:t xml:space="preserve">The DT concurs with </w:t>
            </w:r>
            <w:r w:rsidR="00794287" w:rsidRPr="00794287">
              <w:rPr>
                <w:color w:val="0070C0"/>
              </w:rPr>
              <w:t xml:space="preserve">BPA and </w:t>
            </w:r>
            <w:r w:rsidR="00BF42A8" w:rsidRPr="00794287">
              <w:rPr>
                <w:color w:val="0070C0"/>
              </w:rPr>
              <w:t>delete</w:t>
            </w:r>
            <w:r w:rsidR="00BF42A8">
              <w:rPr>
                <w:color w:val="0070C0"/>
              </w:rPr>
              <w:t>s</w:t>
            </w:r>
            <w:r w:rsidR="00794287" w:rsidRPr="00794287">
              <w:rPr>
                <w:color w:val="0070C0"/>
              </w:rPr>
              <w:t xml:space="preserve"> the footnote.</w:t>
            </w:r>
            <w:r w:rsidR="00216976">
              <w:rPr>
                <w:color w:val="0070C0"/>
              </w:rPr>
              <w:t xml:space="preserve"> </w:t>
            </w:r>
            <w:r w:rsidR="005A7A13">
              <w:rPr>
                <w:color w:val="0070C0"/>
              </w:rPr>
              <w:t>It should be noted that</w:t>
            </w:r>
            <w:r w:rsidR="00695203">
              <w:rPr>
                <w:color w:val="0070C0"/>
              </w:rPr>
              <w:t>,</w:t>
            </w:r>
            <w:r w:rsidR="005A7A13">
              <w:rPr>
                <w:color w:val="0070C0"/>
              </w:rPr>
              <w:t xml:space="preserve"> w</w:t>
            </w:r>
            <w:r w:rsidR="00794287">
              <w:rPr>
                <w:color w:val="0070C0"/>
              </w:rPr>
              <w:t>ith or without the footnote, an entity is not prohibited from bringing a substantive issue to the attention of any one of the applicable entities, with a request for changes to the Table.</w:t>
            </w:r>
            <w:r w:rsidR="00216976">
              <w:rPr>
                <w:color w:val="0070C0"/>
              </w:rPr>
              <w:t xml:space="preserve"> </w:t>
            </w:r>
          </w:p>
          <w:p w14:paraId="7582A46D" w14:textId="0E6C3EED" w:rsidR="004A043C" w:rsidRPr="00E8102D" w:rsidRDefault="004A043C" w:rsidP="00E8102D">
            <w:pPr>
              <w:spacing w:after="120"/>
              <w:ind w:left="84"/>
              <w:rPr>
                <w:b/>
                <w:color w:val="0070C0"/>
              </w:rPr>
            </w:pPr>
            <w:r w:rsidRPr="00E40C03">
              <w:rPr>
                <w:b/>
                <w:color w:val="0070C0"/>
              </w:rPr>
              <w:t>R1.1.5 - Level of Detail/What Constitutes a Description/Added Phrasing</w:t>
            </w:r>
          </w:p>
          <w:p w14:paraId="15C5B7B2" w14:textId="0640D02F" w:rsidR="00794287" w:rsidRDefault="00794287" w:rsidP="00E8102D">
            <w:pPr>
              <w:spacing w:after="120"/>
              <w:ind w:left="84"/>
              <w:rPr>
                <w:bCs w:val="0"/>
                <w:color w:val="0070C0"/>
              </w:rPr>
            </w:pPr>
            <w:r>
              <w:rPr>
                <w:color w:val="0070C0"/>
              </w:rPr>
              <w:t xml:space="preserve">After reviewing BPA’s proposed language, the DT adopted a hybrid of BPA’s approach, as follows: </w:t>
            </w:r>
          </w:p>
          <w:p w14:paraId="2E32C2F9" w14:textId="2442EEE2" w:rsidR="009A5DB1" w:rsidRPr="00E8102D" w:rsidRDefault="004A043C" w:rsidP="00E8102D">
            <w:pPr>
              <w:spacing w:after="120"/>
              <w:ind w:left="698"/>
              <w:rPr>
                <w:bCs w:val="0"/>
                <w:color w:val="0070C0"/>
              </w:rPr>
            </w:pPr>
            <w:r w:rsidRPr="00794287">
              <w:rPr>
                <w:bCs w:val="0"/>
                <w:color w:val="0070C0"/>
              </w:rPr>
              <w:t>“</w:t>
            </w:r>
            <w:r w:rsidR="00794287" w:rsidRPr="00794287">
              <w:rPr>
                <w:b/>
                <w:color w:val="0070C0"/>
              </w:rPr>
              <w:t>R1.1.5</w:t>
            </w:r>
            <w:r w:rsidR="00216976">
              <w:rPr>
                <w:bCs w:val="0"/>
                <w:color w:val="0070C0"/>
              </w:rPr>
              <w:t xml:space="preserve"> </w:t>
            </w:r>
            <w:bookmarkStart w:id="8" w:name="_Hlk112145808"/>
            <w:r w:rsidRPr="00794287">
              <w:rPr>
                <w:bCs w:val="0"/>
                <w:color w:val="0070C0"/>
              </w:rPr>
              <w:t>A description of maintenance practices applicable to the path at the time of the request</w:t>
            </w:r>
            <w:r w:rsidR="009A5DB1" w:rsidRPr="00794287">
              <w:rPr>
                <w:bCs w:val="0"/>
                <w:color w:val="0070C0"/>
              </w:rPr>
              <w:t xml:space="preserve"> (</w:t>
            </w:r>
            <w:r w:rsidRPr="00794287">
              <w:rPr>
                <w:bCs w:val="0"/>
                <w:color w:val="0070C0"/>
              </w:rPr>
              <w:t>FOOTNOTE HERE).</w:t>
            </w:r>
            <w:r w:rsidR="00216976">
              <w:rPr>
                <w:bCs w:val="0"/>
                <w:color w:val="0070C0"/>
              </w:rPr>
              <w:t xml:space="preserve"> </w:t>
            </w:r>
            <w:r w:rsidRPr="00794287">
              <w:rPr>
                <w:bCs w:val="0"/>
                <w:color w:val="0070C0"/>
              </w:rPr>
              <w:t>If maintenance practices will change after a path removal, provide a description of the revised maintenance practices."</w:t>
            </w:r>
            <w:bookmarkEnd w:id="8"/>
          </w:p>
          <w:p w14:paraId="70828CCC" w14:textId="2E0D668C" w:rsidR="002B1949" w:rsidRDefault="009A5DB1" w:rsidP="00E8102D">
            <w:pPr>
              <w:spacing w:after="120"/>
              <w:ind w:left="698"/>
              <w:rPr>
                <w:bCs w:val="0"/>
                <w:color w:val="0070C0"/>
              </w:rPr>
            </w:pPr>
            <w:r>
              <w:rPr>
                <w:b/>
                <w:color w:val="0070C0"/>
              </w:rPr>
              <w:t xml:space="preserve">FOOTNOTE: </w:t>
            </w:r>
            <w:bookmarkStart w:id="9" w:name="_Hlk112146078"/>
            <w:r>
              <w:rPr>
                <w:color w:val="0070C0"/>
              </w:rPr>
              <w:t>“</w:t>
            </w:r>
            <w:bookmarkStart w:id="10" w:name="_Hlk112148594"/>
            <w:r w:rsidR="002741CD">
              <w:rPr>
                <w:color w:val="0070C0"/>
              </w:rPr>
              <w:t>When determining the degree of detail used in R1.1.5 “description of maintenance practices</w:t>
            </w:r>
            <w:r w:rsidR="006D382D">
              <w:rPr>
                <w:color w:val="0070C0"/>
              </w:rPr>
              <w:t>,”</w:t>
            </w:r>
            <w:r w:rsidR="002741CD">
              <w:rPr>
                <w:color w:val="0070C0"/>
              </w:rPr>
              <w:t xml:space="preserve"> the applicable entity should be guided by the level of detail reported in F</w:t>
            </w:r>
            <w:r>
              <w:rPr>
                <w:color w:val="0070C0"/>
              </w:rPr>
              <w:t xml:space="preserve">AC-501-WECC-4, Transmission </w:t>
            </w:r>
            <w:r w:rsidRPr="009B5510">
              <w:rPr>
                <w:color w:val="0070C0"/>
              </w:rPr>
              <w:t>Maintenance, Attachment</w:t>
            </w:r>
            <w:r w:rsidR="009B5510" w:rsidRPr="009B5510">
              <w:rPr>
                <w:color w:val="0070C0"/>
              </w:rPr>
              <w:t xml:space="preserve"> </w:t>
            </w:r>
            <w:bookmarkStart w:id="11" w:name="_Hlk56598754"/>
            <w:r w:rsidR="009B5510" w:rsidRPr="009B5510">
              <w:rPr>
                <w:color w:val="0070C0"/>
              </w:rPr>
              <w:t>A, Transmission Maintenance and Inspection Plan (TMIP) Content.</w:t>
            </w:r>
            <w:bookmarkEnd w:id="11"/>
            <w:r w:rsidR="002741CD" w:rsidRPr="009B5510">
              <w:rPr>
                <w:color w:val="0070C0"/>
              </w:rPr>
              <w:t>”</w:t>
            </w:r>
            <w:r w:rsidR="00216976">
              <w:rPr>
                <w:color w:val="0070C0"/>
              </w:rPr>
              <w:t xml:space="preserve"> </w:t>
            </w:r>
            <w:bookmarkEnd w:id="9"/>
            <w:bookmarkEnd w:id="10"/>
          </w:p>
          <w:p w14:paraId="202721DC" w14:textId="3A2FF6CB" w:rsidR="009B5510" w:rsidRPr="00E8102D" w:rsidRDefault="00A00E6E" w:rsidP="00E8102D">
            <w:pPr>
              <w:spacing w:after="120"/>
              <w:ind w:left="84"/>
              <w:rPr>
                <w:b/>
                <w:color w:val="0070C0"/>
              </w:rPr>
            </w:pPr>
            <w:r w:rsidRPr="00E40C03">
              <w:rPr>
                <w:b/>
                <w:color w:val="0070C0"/>
              </w:rPr>
              <w:t>R4</w:t>
            </w:r>
            <w:r w:rsidR="00E40C03" w:rsidRPr="00E40C03">
              <w:rPr>
                <w:b/>
                <w:color w:val="0070C0"/>
              </w:rPr>
              <w:t xml:space="preserve"> - Add the word “Completed”</w:t>
            </w:r>
          </w:p>
          <w:p w14:paraId="5815B1A2" w14:textId="72F68736" w:rsidR="00E40C03" w:rsidRPr="00E40C03" w:rsidRDefault="009B5510" w:rsidP="00E8102D">
            <w:pPr>
              <w:spacing w:after="120"/>
              <w:ind w:left="84"/>
              <w:rPr>
                <w:color w:val="0070C0"/>
              </w:rPr>
            </w:pPr>
            <w:r>
              <w:rPr>
                <w:color w:val="0070C0"/>
              </w:rPr>
              <w:t>The DT included the word “completed</w:t>
            </w:r>
            <w:r w:rsidR="006D382D">
              <w:rPr>
                <w:color w:val="0070C0"/>
              </w:rPr>
              <w:t>.”</w:t>
            </w:r>
            <w:r w:rsidR="00216976">
              <w:rPr>
                <w:color w:val="0070C0"/>
              </w:rPr>
              <w:t xml:space="preserve"> </w:t>
            </w:r>
          </w:p>
          <w:p w14:paraId="2DD3DD97" w14:textId="33158DF7" w:rsidR="00E40C03" w:rsidRPr="00E8102D" w:rsidRDefault="00A00E6E" w:rsidP="00E8102D">
            <w:pPr>
              <w:spacing w:after="120"/>
              <w:ind w:left="84"/>
              <w:rPr>
                <w:b/>
                <w:color w:val="0070C0"/>
              </w:rPr>
            </w:pPr>
            <w:r w:rsidRPr="00E40C03">
              <w:rPr>
                <w:b/>
                <w:color w:val="0070C0"/>
              </w:rPr>
              <w:t>R4.1</w:t>
            </w:r>
            <w:r w:rsidR="00E40C03" w:rsidRPr="00E40C03">
              <w:rPr>
                <w:b/>
                <w:color w:val="0070C0"/>
              </w:rPr>
              <w:t xml:space="preserve"> – Add “for the information”</w:t>
            </w:r>
          </w:p>
          <w:p w14:paraId="61AD33B7" w14:textId="3A017706" w:rsidR="006D382D" w:rsidRPr="00E8102D" w:rsidRDefault="006D382D" w:rsidP="00E8102D">
            <w:pPr>
              <w:spacing w:after="120"/>
              <w:ind w:left="84"/>
              <w:rPr>
                <w:bCs w:val="0"/>
                <w:color w:val="0070C0"/>
              </w:rPr>
            </w:pPr>
            <w:r>
              <w:rPr>
                <w:color w:val="0070C0"/>
              </w:rPr>
              <w:t>The DT included the phrase “for the information.”</w:t>
            </w:r>
          </w:p>
          <w:p w14:paraId="55BD30CC" w14:textId="705A3D07" w:rsidR="00E40C03" w:rsidRPr="00E8102D" w:rsidRDefault="00E40C03" w:rsidP="00E8102D">
            <w:pPr>
              <w:spacing w:after="120"/>
              <w:ind w:left="84"/>
              <w:rPr>
                <w:b/>
                <w:color w:val="0070C0"/>
              </w:rPr>
            </w:pPr>
            <w:r w:rsidRPr="00E40C03">
              <w:rPr>
                <w:b/>
                <w:color w:val="0070C0"/>
              </w:rPr>
              <w:t>Re: Reclamation Comments</w:t>
            </w:r>
          </w:p>
          <w:p w14:paraId="44FC683B" w14:textId="253B4C3D" w:rsidR="00A00E6E" w:rsidRPr="00E40C03" w:rsidRDefault="00E40C03" w:rsidP="00E8102D">
            <w:pPr>
              <w:spacing w:after="120"/>
              <w:ind w:left="84"/>
              <w:rPr>
                <w:color w:val="0070C0"/>
              </w:rPr>
            </w:pPr>
            <w:r w:rsidRPr="00E40C03">
              <w:rPr>
                <w:color w:val="0070C0"/>
              </w:rPr>
              <w:t xml:space="preserve">Please see the above responses provided to Reclamation. </w:t>
            </w:r>
          </w:p>
        </w:tc>
      </w:tr>
    </w:tbl>
    <w:p w14:paraId="7F0137CE" w14:textId="57BC5504" w:rsidR="00D126E2" w:rsidRDefault="00D126E2" w:rsidP="00135202"/>
    <w:sectPr w:rsidR="00D126E2" w:rsidSect="00E6056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42FC" w14:textId="77777777" w:rsidR="00EC6C15" w:rsidRDefault="00EC6C15" w:rsidP="00E60569">
      <w:r>
        <w:separator/>
      </w:r>
    </w:p>
    <w:p w14:paraId="73DFA71F" w14:textId="77777777" w:rsidR="00EC6C15" w:rsidRDefault="00EC6C15" w:rsidP="00E60569"/>
  </w:endnote>
  <w:endnote w:type="continuationSeparator" w:id="0">
    <w:p w14:paraId="3C83E9AC" w14:textId="77777777" w:rsidR="00EC6C15" w:rsidRDefault="00EC6C15" w:rsidP="00E60569">
      <w:r>
        <w:continuationSeparator/>
      </w:r>
    </w:p>
    <w:p w14:paraId="2BA8500A" w14:textId="77777777" w:rsidR="00EC6C15" w:rsidRDefault="00EC6C15"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A948" w14:textId="77777777" w:rsidR="00BA7E58" w:rsidRDefault="00BA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66ACA964" id="Rectangle 30" o:spid="_x0000_s1026"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943A" w14:textId="77777777" w:rsidR="00EC6C15" w:rsidRDefault="00EC6C15" w:rsidP="0053685B">
      <w:pPr>
        <w:pStyle w:val="FootnoteText"/>
      </w:pPr>
      <w:r>
        <w:separator/>
      </w:r>
    </w:p>
  </w:footnote>
  <w:footnote w:type="continuationSeparator" w:id="0">
    <w:p w14:paraId="71EA22DE" w14:textId="77777777" w:rsidR="00EC6C15" w:rsidRDefault="00EC6C15" w:rsidP="00E60569">
      <w:r>
        <w:continuationSeparator/>
      </w:r>
    </w:p>
    <w:p w14:paraId="3E4894D0" w14:textId="77777777" w:rsidR="00EC6C15" w:rsidRDefault="00EC6C15" w:rsidP="00E60569"/>
  </w:footnote>
  <w:footnote w:id="1">
    <w:p w14:paraId="63836F41" w14:textId="77777777" w:rsidR="009D2CEE" w:rsidRPr="005F085D" w:rsidRDefault="009D2CEE" w:rsidP="009D2CEE">
      <w:pPr>
        <w:pStyle w:val="FootnoteText"/>
      </w:pPr>
      <w:r w:rsidRPr="005F085D">
        <w:rPr>
          <w:rStyle w:val="FootnoteReference"/>
        </w:rPr>
        <w:footnoteRef/>
      </w:r>
      <w:r w:rsidRPr="005F085D">
        <w:t xml:space="preserve"> Since 1998 or earlier, changes to the WECC Path Rating Catalog have been governed by the WECC Project Coordination and Path Rating Processes (PRP).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643A9286" w:rsidR="00415F11" w:rsidRDefault="007A2116">
    <w:pPr>
      <w:pStyle w:val="Header"/>
    </w:pPr>
    <w:r>
      <w:rPr>
        <w:noProof/>
      </w:rPr>
      <mc:AlternateContent>
        <mc:Choice Requires="wps">
          <w:drawing>
            <wp:anchor distT="0" distB="0" distL="0" distR="0" simplePos="0" relativeHeight="251666432" behindDoc="0" locked="0" layoutInCell="1" allowOverlap="1" wp14:anchorId="3614119F" wp14:editId="6DE3F171">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4F21F" w14:textId="47398AE5" w:rsidR="007A2116" w:rsidRPr="007A2116" w:rsidRDefault="007A2116" w:rsidP="007A2116">
                          <w:pPr>
                            <w:spacing w:after="0"/>
                            <w:rPr>
                              <w:rFonts w:ascii="Calibri" w:eastAsia="Calibri" w:hAnsi="Calibri" w:cs="Calibri"/>
                              <w:noProof/>
                              <w:color w:val="000000"/>
                              <w:sz w:val="20"/>
                              <w:szCs w:val="20"/>
                            </w:rPr>
                          </w:pPr>
                          <w:r w:rsidRPr="007A2116">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614119F"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134F21F" w14:textId="47398AE5" w:rsidR="007A2116" w:rsidRPr="007A2116" w:rsidRDefault="007A2116" w:rsidP="007A2116">
                    <w:pPr>
                      <w:spacing w:after="0"/>
                      <w:rPr>
                        <w:rFonts w:ascii="Calibri" w:eastAsia="Calibri" w:hAnsi="Calibri" w:cs="Calibri"/>
                        <w:noProof/>
                        <w:color w:val="000000"/>
                        <w:sz w:val="20"/>
                        <w:szCs w:val="20"/>
                      </w:rPr>
                    </w:pPr>
                    <w:r w:rsidRPr="007A2116">
                      <w:rPr>
                        <w:rFonts w:ascii="Calibri" w:eastAsia="Calibri" w:hAnsi="Calibri" w:cs="Calibri"/>
                        <w:noProof/>
                        <w:color w:val="000000"/>
                        <w:sz w:val="20"/>
                        <w:szCs w:val="20"/>
                      </w:rPr>
                      <w:t>&lt;Public&gt;</w:t>
                    </w:r>
                  </w:p>
                </w:txbxContent>
              </v:textbox>
              <w10:wrap anchorx="page" anchory="page"/>
            </v:shape>
          </w:pict>
        </mc:Fallback>
      </mc:AlternateContent>
    </w:r>
    <w:r w:rsidR="00BF42A8">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33876" o:spid="_x0000_s1033" type="#_x0000_t136" style="position:absolute;left:0;text-align:left;margin-left:0;margin-top:0;width:672.1pt;height:38.4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1 - Response to Comments - Final from Te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4586A4AC" w:rsidR="00415F11" w:rsidRPr="00E5288E" w:rsidRDefault="007A2116"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596830A7" wp14:editId="57854052">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4BF49" w14:textId="428B3261" w:rsidR="007A2116" w:rsidRPr="007A2116" w:rsidRDefault="007A2116" w:rsidP="007A2116">
                          <w:pPr>
                            <w:spacing w:after="0"/>
                            <w:rPr>
                              <w:rFonts w:ascii="Calibri" w:eastAsia="Calibri" w:hAnsi="Calibri" w:cs="Calibri"/>
                              <w:noProof/>
                              <w:color w:val="000000"/>
                              <w:sz w:val="20"/>
                              <w:szCs w:val="20"/>
                            </w:rPr>
                          </w:pPr>
                          <w:r w:rsidRPr="007A2116">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96830A7"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E4BF49" w14:textId="428B3261" w:rsidR="007A2116" w:rsidRPr="007A2116" w:rsidRDefault="007A2116" w:rsidP="007A2116">
                    <w:pPr>
                      <w:spacing w:after="0"/>
                      <w:rPr>
                        <w:rFonts w:ascii="Calibri" w:eastAsia="Calibri" w:hAnsi="Calibri" w:cs="Calibri"/>
                        <w:noProof/>
                        <w:color w:val="000000"/>
                        <w:sz w:val="20"/>
                        <w:szCs w:val="20"/>
                      </w:rPr>
                    </w:pPr>
                    <w:r w:rsidRPr="007A2116">
                      <w:rPr>
                        <w:rFonts w:ascii="Calibri" w:eastAsia="Calibri" w:hAnsi="Calibri" w:cs="Calibri"/>
                        <w:noProof/>
                        <w:color w:val="000000"/>
                        <w:sz w:val="20"/>
                        <w:szCs w:val="20"/>
                      </w:rPr>
                      <w:t>&lt;Public&gt;</w:t>
                    </w:r>
                  </w:p>
                </w:txbxContent>
              </v:textbox>
              <w10:wrap anchorx="page" anchory="page"/>
            </v:shape>
          </w:pict>
        </mc:Fallback>
      </mc:AlternateContent>
    </w:r>
    <w:r w:rsidR="00BF42A8">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33877" o:spid="_x0000_s1034" type="#_x0000_t136" style="position:absolute;left:0;text-align:left;margin-left:0;margin-top:0;width:676.7pt;height:38.4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1 - Response to Comments - Final from Tech"/>
          <w10:wrap anchorx="margin" anchory="margin"/>
        </v:shape>
      </w:pict>
    </w:r>
    <w:r w:rsidR="00415F11" w:rsidRPr="002271E7">
      <w:rPr>
        <w:color w:val="00395D" w:themeColor="accent1"/>
        <w:sz w:val="22"/>
      </w:rPr>
      <w:t>WECC-014</w:t>
    </w:r>
    <w:r w:rsidR="007C2E8E" w:rsidRPr="002271E7">
      <w:rPr>
        <w:color w:val="00395D" w:themeColor="accent1"/>
        <w:sz w:val="22"/>
      </w:rPr>
      <w:t xml:space="preserve">9 </w:t>
    </w:r>
    <w:r w:rsidR="00415F11" w:rsidRPr="002271E7">
      <w:rPr>
        <w:color w:val="00395D" w:themeColor="accent1"/>
        <w:sz w:val="22"/>
      </w:rPr>
      <w:t xml:space="preserve">Response to Comments Posting </w:t>
    </w:r>
    <w:r w:rsidR="007C2E8E" w:rsidRPr="002271E7">
      <w:rPr>
        <w:color w:val="00395D" w:themeColor="accent1"/>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74AABC34" w:rsidR="00415F11" w:rsidRDefault="007A2116" w:rsidP="00FD6572">
    <w:pPr>
      <w:pStyle w:val="Header"/>
    </w:pPr>
    <w:r>
      <w:rPr>
        <w:noProof/>
      </w:rPr>
      <mc:AlternateContent>
        <mc:Choice Requires="wps">
          <w:drawing>
            <wp:anchor distT="0" distB="0" distL="0" distR="0" simplePos="0" relativeHeight="251665408" behindDoc="0" locked="0" layoutInCell="1" allowOverlap="1" wp14:anchorId="55031B96" wp14:editId="72178E5E">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8A546" w14:textId="06295B61" w:rsidR="007A2116" w:rsidRPr="007A2116" w:rsidRDefault="007A2116" w:rsidP="007A2116">
                          <w:pPr>
                            <w:spacing w:after="0"/>
                            <w:rPr>
                              <w:rFonts w:ascii="Calibri" w:eastAsia="Calibri" w:hAnsi="Calibri" w:cs="Calibri"/>
                              <w:noProof/>
                              <w:color w:val="000000"/>
                              <w:sz w:val="20"/>
                              <w:szCs w:val="20"/>
                            </w:rPr>
                          </w:pPr>
                          <w:r w:rsidRPr="007A2116">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5031B96"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638A546" w14:textId="06295B61" w:rsidR="007A2116" w:rsidRPr="007A2116" w:rsidRDefault="007A2116" w:rsidP="007A2116">
                    <w:pPr>
                      <w:spacing w:after="0"/>
                      <w:rPr>
                        <w:rFonts w:ascii="Calibri" w:eastAsia="Calibri" w:hAnsi="Calibri" w:cs="Calibri"/>
                        <w:noProof/>
                        <w:color w:val="000000"/>
                        <w:sz w:val="20"/>
                        <w:szCs w:val="20"/>
                      </w:rPr>
                    </w:pPr>
                    <w:r w:rsidRPr="007A2116">
                      <w:rPr>
                        <w:rFonts w:ascii="Calibri" w:eastAsia="Calibri" w:hAnsi="Calibri" w:cs="Calibri"/>
                        <w:noProof/>
                        <w:color w:val="000000"/>
                        <w:sz w:val="20"/>
                        <w:szCs w:val="20"/>
                      </w:rPr>
                      <w:t>&lt;Public&gt;</w:t>
                    </w:r>
                  </w:p>
                </w:txbxContent>
              </v:textbox>
              <w10:wrap anchorx="page" anchory="page"/>
            </v:shape>
          </w:pict>
        </mc:Fallback>
      </mc:AlternateContent>
    </w:r>
    <w:r w:rsidR="00BF42A8">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33875" o:spid="_x0000_s1032" type="#_x0000_t136" style="position:absolute;left:0;text-align:left;margin-left:0;margin-top:0;width:676.7pt;height:38.4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1 - Response to Comments - Final from Tech"/>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044A4BA2" w14:textId="77777777" w:rsidR="003E4CC0" w:rsidRDefault="00415F11" w:rsidP="00833E1A">
    <w:pPr>
      <w:pStyle w:val="Header"/>
      <w:rPr>
        <w:bCs/>
      </w:rPr>
    </w:pPr>
    <w:bookmarkStart w:id="12" w:name="_Hlk23152673"/>
    <w:r w:rsidRPr="00833E1A">
      <w:rPr>
        <w:bCs/>
      </w:rPr>
      <w:t>WECC-014</w:t>
    </w:r>
    <w:r w:rsidR="003E4CC0">
      <w:rPr>
        <w:bCs/>
      </w:rPr>
      <w:t>9</w:t>
    </w:r>
  </w:p>
  <w:p w14:paraId="74905F8A" w14:textId="77777777" w:rsidR="003E4CC0" w:rsidRDefault="003E4CC0" w:rsidP="00833E1A">
    <w:pPr>
      <w:pStyle w:val="Header"/>
      <w:rPr>
        <w:bCs/>
      </w:rPr>
    </w:pPr>
    <w:r>
      <w:rPr>
        <w:bCs/>
      </w:rPr>
      <w:t>Table Revision Process</w:t>
    </w:r>
  </w:p>
  <w:bookmarkEnd w:id="12"/>
  <w:p w14:paraId="5B44D666" w14:textId="07652190" w:rsidR="00415F11" w:rsidRDefault="00415F11" w:rsidP="00FD6572">
    <w:pPr>
      <w:pStyle w:val="Header"/>
      <w:contextualSpacing w:val="0"/>
    </w:pPr>
    <w:r>
      <w:t>Response to Comments Posting</w:t>
    </w:r>
    <w:r w:rsidR="00603AC2">
      <w:t xml:space="preserve"> </w:t>
    </w:r>
    <w:r w:rsidR="003E4CC0">
      <w:t>1</w:t>
    </w:r>
  </w:p>
  <w:p w14:paraId="7AE1FC3D" w14:textId="17A8A07C" w:rsidR="00415F11" w:rsidRPr="00761FA8" w:rsidRDefault="003E4CC0" w:rsidP="00FD6572">
    <w:pPr>
      <w:pStyle w:val="Header"/>
      <w:contextualSpacing w:val="0"/>
    </w:pPr>
    <w:r>
      <w:t>July 20</w:t>
    </w:r>
    <w:r w:rsidR="00415F11">
      <w:t>–</w:t>
    </w:r>
    <w:r>
      <w:t>August 19,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3"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6"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4"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7"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496979">
    <w:abstractNumId w:val="37"/>
  </w:num>
  <w:num w:numId="2" w16cid:durableId="1177960432">
    <w:abstractNumId w:val="22"/>
  </w:num>
  <w:num w:numId="3" w16cid:durableId="521669450">
    <w:abstractNumId w:val="7"/>
  </w:num>
  <w:num w:numId="4" w16cid:durableId="483206628">
    <w:abstractNumId w:val="14"/>
  </w:num>
  <w:num w:numId="5" w16cid:durableId="554510798">
    <w:abstractNumId w:val="38"/>
  </w:num>
  <w:num w:numId="6" w16cid:durableId="1321688232">
    <w:abstractNumId w:val="16"/>
  </w:num>
  <w:num w:numId="7" w16cid:durableId="209266651">
    <w:abstractNumId w:val="36"/>
  </w:num>
  <w:num w:numId="8" w16cid:durableId="966928669">
    <w:abstractNumId w:val="26"/>
  </w:num>
  <w:num w:numId="9" w16cid:durableId="1338924452">
    <w:abstractNumId w:val="32"/>
  </w:num>
  <w:num w:numId="10" w16cid:durableId="805316872">
    <w:abstractNumId w:val="15"/>
  </w:num>
  <w:num w:numId="11" w16cid:durableId="226184330">
    <w:abstractNumId w:val="15"/>
    <w:lvlOverride w:ilvl="0">
      <w:startOverride w:val="1"/>
    </w:lvlOverride>
  </w:num>
  <w:num w:numId="12" w16cid:durableId="1791315250">
    <w:abstractNumId w:val="17"/>
  </w:num>
  <w:num w:numId="13" w16cid:durableId="568536832">
    <w:abstractNumId w:val="11"/>
  </w:num>
  <w:num w:numId="14" w16cid:durableId="1646662591">
    <w:abstractNumId w:val="35"/>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4"/>
  </w:num>
  <w:num w:numId="18" w16cid:durableId="661155404">
    <w:abstractNumId w:val="10"/>
  </w:num>
  <w:num w:numId="19" w16cid:durableId="1272667832">
    <w:abstractNumId w:val="13"/>
  </w:num>
  <w:num w:numId="20" w16cid:durableId="2062241761">
    <w:abstractNumId w:val="39"/>
  </w:num>
  <w:num w:numId="21" w16cid:durableId="219757655">
    <w:abstractNumId w:val="34"/>
  </w:num>
  <w:num w:numId="22" w16cid:durableId="1029332241">
    <w:abstractNumId w:val="15"/>
    <w:lvlOverride w:ilvl="0">
      <w:startOverride w:val="1"/>
    </w:lvlOverride>
  </w:num>
  <w:num w:numId="23" w16cid:durableId="1674651572">
    <w:abstractNumId w:val="1"/>
  </w:num>
  <w:num w:numId="24" w16cid:durableId="1710295484">
    <w:abstractNumId w:val="4"/>
  </w:num>
  <w:num w:numId="25" w16cid:durableId="2090233009">
    <w:abstractNumId w:val="28"/>
  </w:num>
  <w:num w:numId="26" w16cid:durableId="1132481264">
    <w:abstractNumId w:val="2"/>
  </w:num>
  <w:num w:numId="27" w16cid:durableId="784426402">
    <w:abstractNumId w:val="20"/>
  </w:num>
  <w:num w:numId="28" w16cid:durableId="374240380">
    <w:abstractNumId w:val="12"/>
  </w:num>
  <w:num w:numId="29" w16cid:durableId="1774281196">
    <w:abstractNumId w:val="6"/>
  </w:num>
  <w:num w:numId="30" w16cid:durableId="1482697852">
    <w:abstractNumId w:val="23"/>
  </w:num>
  <w:num w:numId="31" w16cid:durableId="148712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19"/>
  </w:num>
  <w:num w:numId="34" w16cid:durableId="778839556">
    <w:abstractNumId w:val="29"/>
  </w:num>
  <w:num w:numId="35" w16cid:durableId="1188760995">
    <w:abstractNumId w:val="33"/>
  </w:num>
  <w:num w:numId="36" w16cid:durableId="1680083605">
    <w:abstractNumId w:val="9"/>
  </w:num>
  <w:num w:numId="37" w16cid:durableId="882710290">
    <w:abstractNumId w:val="18"/>
  </w:num>
  <w:num w:numId="38" w16cid:durableId="47147033">
    <w:abstractNumId w:val="30"/>
  </w:num>
  <w:num w:numId="39" w16cid:durableId="978532177">
    <w:abstractNumId w:val="15"/>
  </w:num>
  <w:num w:numId="40" w16cid:durableId="1872037985">
    <w:abstractNumId w:val="27"/>
  </w:num>
  <w:num w:numId="41" w16cid:durableId="1711146563">
    <w:abstractNumId w:val="25"/>
  </w:num>
  <w:num w:numId="42" w16cid:durableId="494609497">
    <w:abstractNumId w:val="8"/>
  </w:num>
  <w:num w:numId="43" w16cid:durableId="4037675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659E"/>
    <w:rsid w:val="000544F0"/>
    <w:rsid w:val="00060803"/>
    <w:rsid w:val="000625C8"/>
    <w:rsid w:val="00064067"/>
    <w:rsid w:val="0006553B"/>
    <w:rsid w:val="0006630A"/>
    <w:rsid w:val="00067501"/>
    <w:rsid w:val="00071D3D"/>
    <w:rsid w:val="00071F78"/>
    <w:rsid w:val="000733F6"/>
    <w:rsid w:val="00077FA9"/>
    <w:rsid w:val="000833A8"/>
    <w:rsid w:val="00090829"/>
    <w:rsid w:val="00091311"/>
    <w:rsid w:val="00092CB5"/>
    <w:rsid w:val="00096702"/>
    <w:rsid w:val="000A1755"/>
    <w:rsid w:val="000A4DDD"/>
    <w:rsid w:val="000A7509"/>
    <w:rsid w:val="000B360E"/>
    <w:rsid w:val="000B364E"/>
    <w:rsid w:val="000B6418"/>
    <w:rsid w:val="000C22A2"/>
    <w:rsid w:val="000D3E2E"/>
    <w:rsid w:val="000D56D6"/>
    <w:rsid w:val="000D63FA"/>
    <w:rsid w:val="000D7344"/>
    <w:rsid w:val="000E3160"/>
    <w:rsid w:val="000F3CFC"/>
    <w:rsid w:val="000F5D12"/>
    <w:rsid w:val="000F614E"/>
    <w:rsid w:val="000F7B31"/>
    <w:rsid w:val="0010153E"/>
    <w:rsid w:val="00104AE7"/>
    <w:rsid w:val="00105B18"/>
    <w:rsid w:val="00106394"/>
    <w:rsid w:val="001079A8"/>
    <w:rsid w:val="0011358A"/>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7E2D"/>
    <w:rsid w:val="001E12D2"/>
    <w:rsid w:val="001E1B6F"/>
    <w:rsid w:val="001E561E"/>
    <w:rsid w:val="001F1BBC"/>
    <w:rsid w:val="001F3FA9"/>
    <w:rsid w:val="001F739D"/>
    <w:rsid w:val="00202A82"/>
    <w:rsid w:val="00203374"/>
    <w:rsid w:val="00206057"/>
    <w:rsid w:val="00207C13"/>
    <w:rsid w:val="00216976"/>
    <w:rsid w:val="00220016"/>
    <w:rsid w:val="002201AF"/>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172"/>
    <w:rsid w:val="002703EA"/>
    <w:rsid w:val="002741CD"/>
    <w:rsid w:val="002750A4"/>
    <w:rsid w:val="002779B8"/>
    <w:rsid w:val="002804E5"/>
    <w:rsid w:val="00287368"/>
    <w:rsid w:val="00290615"/>
    <w:rsid w:val="002A1821"/>
    <w:rsid w:val="002A6673"/>
    <w:rsid w:val="002B1949"/>
    <w:rsid w:val="002B4DA5"/>
    <w:rsid w:val="002C0B4D"/>
    <w:rsid w:val="002C1AB2"/>
    <w:rsid w:val="002C5320"/>
    <w:rsid w:val="002D79C5"/>
    <w:rsid w:val="002E1330"/>
    <w:rsid w:val="002E355D"/>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91626"/>
    <w:rsid w:val="003918C8"/>
    <w:rsid w:val="003A001E"/>
    <w:rsid w:val="003A079E"/>
    <w:rsid w:val="003A1E3E"/>
    <w:rsid w:val="003A1EB3"/>
    <w:rsid w:val="003A503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65AD"/>
    <w:rsid w:val="00416F6B"/>
    <w:rsid w:val="0043393A"/>
    <w:rsid w:val="0043738A"/>
    <w:rsid w:val="0044319B"/>
    <w:rsid w:val="00444FCF"/>
    <w:rsid w:val="00454D47"/>
    <w:rsid w:val="004578CE"/>
    <w:rsid w:val="00466D5C"/>
    <w:rsid w:val="00473124"/>
    <w:rsid w:val="004804B2"/>
    <w:rsid w:val="00480865"/>
    <w:rsid w:val="0048182D"/>
    <w:rsid w:val="00483713"/>
    <w:rsid w:val="00483A71"/>
    <w:rsid w:val="00494F89"/>
    <w:rsid w:val="0049639E"/>
    <w:rsid w:val="004A043C"/>
    <w:rsid w:val="004A0BC8"/>
    <w:rsid w:val="004A2C9C"/>
    <w:rsid w:val="004A2CA6"/>
    <w:rsid w:val="004A5A5A"/>
    <w:rsid w:val="004A61E0"/>
    <w:rsid w:val="004B393E"/>
    <w:rsid w:val="004C1B4D"/>
    <w:rsid w:val="004D1F97"/>
    <w:rsid w:val="004D30E6"/>
    <w:rsid w:val="004E3D0A"/>
    <w:rsid w:val="004E7D99"/>
    <w:rsid w:val="004F24DB"/>
    <w:rsid w:val="004F352F"/>
    <w:rsid w:val="00504175"/>
    <w:rsid w:val="00504559"/>
    <w:rsid w:val="00504EEE"/>
    <w:rsid w:val="0050729A"/>
    <w:rsid w:val="00507DC5"/>
    <w:rsid w:val="00513832"/>
    <w:rsid w:val="005144DB"/>
    <w:rsid w:val="00516938"/>
    <w:rsid w:val="00516DBC"/>
    <w:rsid w:val="00523296"/>
    <w:rsid w:val="00533CFD"/>
    <w:rsid w:val="0053685B"/>
    <w:rsid w:val="00550DB3"/>
    <w:rsid w:val="0056149A"/>
    <w:rsid w:val="00571E4F"/>
    <w:rsid w:val="00574CF9"/>
    <w:rsid w:val="005852D5"/>
    <w:rsid w:val="00591600"/>
    <w:rsid w:val="00591960"/>
    <w:rsid w:val="00597BEB"/>
    <w:rsid w:val="00597D38"/>
    <w:rsid w:val="005A1B26"/>
    <w:rsid w:val="005A2805"/>
    <w:rsid w:val="005A289B"/>
    <w:rsid w:val="005A48F3"/>
    <w:rsid w:val="005A673C"/>
    <w:rsid w:val="005A728A"/>
    <w:rsid w:val="005A7A13"/>
    <w:rsid w:val="005B075B"/>
    <w:rsid w:val="005B31EA"/>
    <w:rsid w:val="005B679F"/>
    <w:rsid w:val="005C4DB3"/>
    <w:rsid w:val="005C7F62"/>
    <w:rsid w:val="005D2FE6"/>
    <w:rsid w:val="005D3F69"/>
    <w:rsid w:val="005D7F49"/>
    <w:rsid w:val="005E36FF"/>
    <w:rsid w:val="005E461E"/>
    <w:rsid w:val="005E7AB7"/>
    <w:rsid w:val="005F5FB9"/>
    <w:rsid w:val="005F7350"/>
    <w:rsid w:val="006001CA"/>
    <w:rsid w:val="00601110"/>
    <w:rsid w:val="00603AC2"/>
    <w:rsid w:val="00603CB7"/>
    <w:rsid w:val="00611EB5"/>
    <w:rsid w:val="0061413B"/>
    <w:rsid w:val="00617889"/>
    <w:rsid w:val="0062691A"/>
    <w:rsid w:val="00633476"/>
    <w:rsid w:val="00636BEB"/>
    <w:rsid w:val="00641123"/>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2A25"/>
    <w:rsid w:val="006C0A2C"/>
    <w:rsid w:val="006D382D"/>
    <w:rsid w:val="006E1C73"/>
    <w:rsid w:val="006E6397"/>
    <w:rsid w:val="006F6E46"/>
    <w:rsid w:val="007045F9"/>
    <w:rsid w:val="00706A70"/>
    <w:rsid w:val="007130D6"/>
    <w:rsid w:val="007164BD"/>
    <w:rsid w:val="00716BCC"/>
    <w:rsid w:val="007176F3"/>
    <w:rsid w:val="00721EE8"/>
    <w:rsid w:val="007342C5"/>
    <w:rsid w:val="00735DF8"/>
    <w:rsid w:val="0073777A"/>
    <w:rsid w:val="0074040B"/>
    <w:rsid w:val="00741A49"/>
    <w:rsid w:val="00742144"/>
    <w:rsid w:val="007511E4"/>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2116"/>
    <w:rsid w:val="007A400F"/>
    <w:rsid w:val="007A46E1"/>
    <w:rsid w:val="007A64C7"/>
    <w:rsid w:val="007B2D74"/>
    <w:rsid w:val="007B3DEE"/>
    <w:rsid w:val="007B3F25"/>
    <w:rsid w:val="007B7D2E"/>
    <w:rsid w:val="007C1F04"/>
    <w:rsid w:val="007C2E8E"/>
    <w:rsid w:val="007D10F7"/>
    <w:rsid w:val="007D236B"/>
    <w:rsid w:val="007D2436"/>
    <w:rsid w:val="007E0446"/>
    <w:rsid w:val="007E11F2"/>
    <w:rsid w:val="007E3A44"/>
    <w:rsid w:val="007F44E5"/>
    <w:rsid w:val="0080492E"/>
    <w:rsid w:val="00804B5D"/>
    <w:rsid w:val="008110DF"/>
    <w:rsid w:val="008117E5"/>
    <w:rsid w:val="00813C43"/>
    <w:rsid w:val="008150B2"/>
    <w:rsid w:val="008161B2"/>
    <w:rsid w:val="00823036"/>
    <w:rsid w:val="008279AC"/>
    <w:rsid w:val="0083062F"/>
    <w:rsid w:val="00833E1A"/>
    <w:rsid w:val="008356DA"/>
    <w:rsid w:val="0084086C"/>
    <w:rsid w:val="00843E7D"/>
    <w:rsid w:val="008446F5"/>
    <w:rsid w:val="008453E1"/>
    <w:rsid w:val="00855B6B"/>
    <w:rsid w:val="008569D3"/>
    <w:rsid w:val="008575F4"/>
    <w:rsid w:val="00864C89"/>
    <w:rsid w:val="00871FD3"/>
    <w:rsid w:val="00874BBC"/>
    <w:rsid w:val="00891439"/>
    <w:rsid w:val="008A57E3"/>
    <w:rsid w:val="008B1F42"/>
    <w:rsid w:val="008B4DD7"/>
    <w:rsid w:val="008B6516"/>
    <w:rsid w:val="008B7E87"/>
    <w:rsid w:val="008C2815"/>
    <w:rsid w:val="008C6B3F"/>
    <w:rsid w:val="008D34AA"/>
    <w:rsid w:val="008D7432"/>
    <w:rsid w:val="008E2D28"/>
    <w:rsid w:val="008E7488"/>
    <w:rsid w:val="008E7FEE"/>
    <w:rsid w:val="008F0248"/>
    <w:rsid w:val="008F14B2"/>
    <w:rsid w:val="008F3E53"/>
    <w:rsid w:val="008F5FA1"/>
    <w:rsid w:val="009033AC"/>
    <w:rsid w:val="00913528"/>
    <w:rsid w:val="00914794"/>
    <w:rsid w:val="00914865"/>
    <w:rsid w:val="00917197"/>
    <w:rsid w:val="0091755C"/>
    <w:rsid w:val="00926A2E"/>
    <w:rsid w:val="00931844"/>
    <w:rsid w:val="0094025E"/>
    <w:rsid w:val="00945920"/>
    <w:rsid w:val="00953D87"/>
    <w:rsid w:val="00955581"/>
    <w:rsid w:val="009619AE"/>
    <w:rsid w:val="00965469"/>
    <w:rsid w:val="009664A1"/>
    <w:rsid w:val="0096709D"/>
    <w:rsid w:val="00973BFC"/>
    <w:rsid w:val="00973DB0"/>
    <w:rsid w:val="009760A9"/>
    <w:rsid w:val="009762D5"/>
    <w:rsid w:val="00977C61"/>
    <w:rsid w:val="0098286B"/>
    <w:rsid w:val="009A4894"/>
    <w:rsid w:val="009A4D48"/>
    <w:rsid w:val="009A5DB1"/>
    <w:rsid w:val="009B19EE"/>
    <w:rsid w:val="009B37B4"/>
    <w:rsid w:val="009B5510"/>
    <w:rsid w:val="009C1A37"/>
    <w:rsid w:val="009D2CEE"/>
    <w:rsid w:val="009E040B"/>
    <w:rsid w:val="009E1D07"/>
    <w:rsid w:val="009F163A"/>
    <w:rsid w:val="009F509D"/>
    <w:rsid w:val="009F530F"/>
    <w:rsid w:val="009F5663"/>
    <w:rsid w:val="00A00E6E"/>
    <w:rsid w:val="00A1463B"/>
    <w:rsid w:val="00A231E9"/>
    <w:rsid w:val="00A25718"/>
    <w:rsid w:val="00A25B0B"/>
    <w:rsid w:val="00A27E3A"/>
    <w:rsid w:val="00A323FE"/>
    <w:rsid w:val="00A32B37"/>
    <w:rsid w:val="00A40A76"/>
    <w:rsid w:val="00A454BF"/>
    <w:rsid w:val="00A50731"/>
    <w:rsid w:val="00A55FDC"/>
    <w:rsid w:val="00A80B6E"/>
    <w:rsid w:val="00A9036D"/>
    <w:rsid w:val="00A90E38"/>
    <w:rsid w:val="00A90E43"/>
    <w:rsid w:val="00A91FC7"/>
    <w:rsid w:val="00A928D5"/>
    <w:rsid w:val="00A9537C"/>
    <w:rsid w:val="00AA1142"/>
    <w:rsid w:val="00AA28B5"/>
    <w:rsid w:val="00AA4836"/>
    <w:rsid w:val="00AA7261"/>
    <w:rsid w:val="00AB2A51"/>
    <w:rsid w:val="00AB2D32"/>
    <w:rsid w:val="00AB67FE"/>
    <w:rsid w:val="00AC1FA6"/>
    <w:rsid w:val="00AD06CB"/>
    <w:rsid w:val="00AD06D5"/>
    <w:rsid w:val="00AD1A1C"/>
    <w:rsid w:val="00AE4F6F"/>
    <w:rsid w:val="00B0700F"/>
    <w:rsid w:val="00B076C7"/>
    <w:rsid w:val="00B1133D"/>
    <w:rsid w:val="00B14047"/>
    <w:rsid w:val="00B14107"/>
    <w:rsid w:val="00B1669F"/>
    <w:rsid w:val="00B17C66"/>
    <w:rsid w:val="00B2238A"/>
    <w:rsid w:val="00B2334C"/>
    <w:rsid w:val="00B24F85"/>
    <w:rsid w:val="00B327DC"/>
    <w:rsid w:val="00B34663"/>
    <w:rsid w:val="00B3575F"/>
    <w:rsid w:val="00B35E63"/>
    <w:rsid w:val="00B41360"/>
    <w:rsid w:val="00B41D6B"/>
    <w:rsid w:val="00B41EAD"/>
    <w:rsid w:val="00B437B5"/>
    <w:rsid w:val="00B44DA8"/>
    <w:rsid w:val="00B45011"/>
    <w:rsid w:val="00B518D4"/>
    <w:rsid w:val="00B52279"/>
    <w:rsid w:val="00B52F24"/>
    <w:rsid w:val="00B5418D"/>
    <w:rsid w:val="00B5595C"/>
    <w:rsid w:val="00B6235E"/>
    <w:rsid w:val="00B75012"/>
    <w:rsid w:val="00B76561"/>
    <w:rsid w:val="00B77317"/>
    <w:rsid w:val="00B94EAC"/>
    <w:rsid w:val="00B96569"/>
    <w:rsid w:val="00BA599F"/>
    <w:rsid w:val="00BA7DBE"/>
    <w:rsid w:val="00BA7E4F"/>
    <w:rsid w:val="00BA7E58"/>
    <w:rsid w:val="00BB63D7"/>
    <w:rsid w:val="00BC0795"/>
    <w:rsid w:val="00BC2F0F"/>
    <w:rsid w:val="00BD47CC"/>
    <w:rsid w:val="00BD7015"/>
    <w:rsid w:val="00BD7A6A"/>
    <w:rsid w:val="00BF2037"/>
    <w:rsid w:val="00BF42A8"/>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6A03"/>
    <w:rsid w:val="00C40AE9"/>
    <w:rsid w:val="00C51757"/>
    <w:rsid w:val="00C51B37"/>
    <w:rsid w:val="00C53718"/>
    <w:rsid w:val="00C547A9"/>
    <w:rsid w:val="00C60FB0"/>
    <w:rsid w:val="00C65FA8"/>
    <w:rsid w:val="00C66DC1"/>
    <w:rsid w:val="00C708A2"/>
    <w:rsid w:val="00C70D36"/>
    <w:rsid w:val="00C77307"/>
    <w:rsid w:val="00C87902"/>
    <w:rsid w:val="00C87CDB"/>
    <w:rsid w:val="00CA16E0"/>
    <w:rsid w:val="00CB06A5"/>
    <w:rsid w:val="00CC0C76"/>
    <w:rsid w:val="00CC6863"/>
    <w:rsid w:val="00CD153D"/>
    <w:rsid w:val="00CD26FD"/>
    <w:rsid w:val="00CD2804"/>
    <w:rsid w:val="00CD2870"/>
    <w:rsid w:val="00CD52F7"/>
    <w:rsid w:val="00CE5459"/>
    <w:rsid w:val="00CE5DA7"/>
    <w:rsid w:val="00CF744E"/>
    <w:rsid w:val="00CF774D"/>
    <w:rsid w:val="00D01FB6"/>
    <w:rsid w:val="00D02E36"/>
    <w:rsid w:val="00D043E3"/>
    <w:rsid w:val="00D07301"/>
    <w:rsid w:val="00D10167"/>
    <w:rsid w:val="00D103FF"/>
    <w:rsid w:val="00D126E2"/>
    <w:rsid w:val="00D12784"/>
    <w:rsid w:val="00D12FAF"/>
    <w:rsid w:val="00D20CB7"/>
    <w:rsid w:val="00D212A8"/>
    <w:rsid w:val="00D25CEC"/>
    <w:rsid w:val="00D26DF2"/>
    <w:rsid w:val="00D318C0"/>
    <w:rsid w:val="00D32A48"/>
    <w:rsid w:val="00D334D6"/>
    <w:rsid w:val="00D47B2D"/>
    <w:rsid w:val="00D524F1"/>
    <w:rsid w:val="00D623B1"/>
    <w:rsid w:val="00D66C70"/>
    <w:rsid w:val="00D674A7"/>
    <w:rsid w:val="00D7193F"/>
    <w:rsid w:val="00D71A5B"/>
    <w:rsid w:val="00D73B92"/>
    <w:rsid w:val="00D768E9"/>
    <w:rsid w:val="00D83860"/>
    <w:rsid w:val="00D918C1"/>
    <w:rsid w:val="00D930AD"/>
    <w:rsid w:val="00D94A91"/>
    <w:rsid w:val="00D96775"/>
    <w:rsid w:val="00DB0CB8"/>
    <w:rsid w:val="00DB3148"/>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2192C"/>
    <w:rsid w:val="00E40C03"/>
    <w:rsid w:val="00E468D9"/>
    <w:rsid w:val="00E5288E"/>
    <w:rsid w:val="00E5719E"/>
    <w:rsid w:val="00E60569"/>
    <w:rsid w:val="00E62C56"/>
    <w:rsid w:val="00E63D1A"/>
    <w:rsid w:val="00E71EF0"/>
    <w:rsid w:val="00E8008C"/>
    <w:rsid w:val="00E8102D"/>
    <w:rsid w:val="00E94146"/>
    <w:rsid w:val="00E954B7"/>
    <w:rsid w:val="00E95A43"/>
    <w:rsid w:val="00E95EE6"/>
    <w:rsid w:val="00E9672B"/>
    <w:rsid w:val="00E97E19"/>
    <w:rsid w:val="00EA0066"/>
    <w:rsid w:val="00EA0E33"/>
    <w:rsid w:val="00EA2394"/>
    <w:rsid w:val="00EA368D"/>
    <w:rsid w:val="00EB4C68"/>
    <w:rsid w:val="00EC6C15"/>
    <w:rsid w:val="00ED3F4A"/>
    <w:rsid w:val="00ED464C"/>
    <w:rsid w:val="00EE1BC9"/>
    <w:rsid w:val="00EE6DB7"/>
    <w:rsid w:val="00EF577D"/>
    <w:rsid w:val="00EF5DFE"/>
    <w:rsid w:val="00F04DEA"/>
    <w:rsid w:val="00F073A6"/>
    <w:rsid w:val="00F10538"/>
    <w:rsid w:val="00F114D1"/>
    <w:rsid w:val="00F22869"/>
    <w:rsid w:val="00F24D4A"/>
    <w:rsid w:val="00F25A36"/>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82512"/>
    <w:rsid w:val="00F84051"/>
    <w:rsid w:val="00F853EC"/>
    <w:rsid w:val="00F85A6B"/>
    <w:rsid w:val="00F86011"/>
    <w:rsid w:val="00F8781A"/>
    <w:rsid w:val="00FB0C78"/>
    <w:rsid w:val="00FB3507"/>
    <w:rsid w:val="00FB36F6"/>
    <w:rsid w:val="00FB77AC"/>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nal.wecc.org/Standards/pages/wecc-0149.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ecc.org/Standards/pages/wecc-0149.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lack@wecc.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YWEQ7USXTMD7-3-13854</_dlc_DocId>
    <_dlc_DocIdUrl xmlns="4bd63098-0c83-43cf-abdd-085f2cc55a51">
      <Url>https://internal.wecc.org/_layouts/15/DocIdRedir.aspx?ID=YWEQ7USXTMD7-3-13854</Url>
      <Description>YWEQ7USXTMD7-3-13854</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2.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3.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84D8D984-B48C-4DF2-86C4-3B80D20197FC}"/>
</file>

<file path=customXml/itemProps5.xml><?xml version="1.0" encoding="utf-8"?>
<ds:datastoreItem xmlns:ds="http://schemas.openxmlformats.org/officeDocument/2006/customXml" ds:itemID="{EC9198E6-AE6F-4B9E-A586-D6F4FF384D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BasicDocument</Template>
  <TotalTime>4</TotalTime>
  <Pages>10</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WECC-0146 Posting 3 TPL-001-WECC-CRT-3 Response to Comments</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R08 Response 1 WECC-0149</dc:title>
  <dc:subject/>
  <dc:creator>Coleman, Chad</dc:creator>
  <cp:keywords>NERCFilings; WECC-0149; NERC Filings</cp:keywords>
  <dc:description/>
  <cp:lastModifiedBy>Black, Shannon</cp:lastModifiedBy>
  <cp:revision>3</cp:revision>
  <cp:lastPrinted>2022-04-28T17:25:00Z</cp:lastPrinted>
  <dcterms:created xsi:type="dcterms:W3CDTF">2023-10-26T21:57:00Z</dcterms:created>
  <dcterms:modified xsi:type="dcterms:W3CDTF">2024-02-29T20:22:00Z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48b3a8f3-bb2f-407d-8364-cd44b2549a03</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2023-07-13T18:00:07Z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f9af5f02-ee91-4bbc-9add-eec133fe6b7e</vt:lpwstr>
  </property>
  <property fmtid="{D5CDD505-2E9C-101B-9397-08002B2CF9AE}" pid="14" name="MSIP_Label_878e9819-3d07-47f7-9697-834686d925a0_ContentBits">
    <vt:lpwstr>1</vt:lpwstr>
  </property>
</Properties>
</file>