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299C9" w14:textId="1DCEBCB4" w:rsidR="00323BC9" w:rsidRPr="00E60569" w:rsidRDefault="0053685B" w:rsidP="00E60569">
      <w:pPr>
        <w:pStyle w:val="Heading1"/>
      </w:pPr>
      <w:bookmarkStart w:id="0" w:name="_Hlk140231558"/>
      <w:r>
        <w:t xml:space="preserve">Posting </w:t>
      </w:r>
      <w:r w:rsidR="007601BB">
        <w:t>1 – NERC 45 Day Posting</w:t>
      </w:r>
    </w:p>
    <w:bookmarkEnd w:id="0"/>
    <w:p w14:paraId="36BE0D1B" w14:textId="77777777" w:rsidR="008F2EF3" w:rsidRPr="008F2EF3" w:rsidRDefault="008F2EF3" w:rsidP="008F2EF3">
      <w:pPr>
        <w:pStyle w:val="Heading2"/>
        <w:rPr>
          <w:bCs/>
        </w:rPr>
      </w:pPr>
      <w:r w:rsidRPr="008F2EF3">
        <w:rPr>
          <w:bCs/>
        </w:rPr>
        <w:t>Posting 1 – NERC 45 Day Posting</w:t>
      </w:r>
    </w:p>
    <w:p w14:paraId="1073C33F" w14:textId="4E312EF0" w:rsidR="00143454" w:rsidRDefault="0094025E" w:rsidP="0053685B">
      <w:bookmarkStart w:id="1" w:name="_Hlk17896249"/>
      <w:r>
        <w:t>Th</w:t>
      </w:r>
      <w:r w:rsidR="00A27E3A">
        <w:t xml:space="preserve">is project was posted </w:t>
      </w:r>
      <w:r>
        <w:t xml:space="preserve">for comment </w:t>
      </w:r>
      <w:r w:rsidR="00683214">
        <w:t xml:space="preserve">by NERC for 45-day comment, </w:t>
      </w:r>
      <w:r>
        <w:t>from</w:t>
      </w:r>
      <w:r w:rsidR="00A27E3A">
        <w:t xml:space="preserve"> </w:t>
      </w:r>
      <w:r w:rsidR="00683214">
        <w:t xml:space="preserve">January 26, 2022 through March 11, 2022. </w:t>
      </w:r>
      <w:r w:rsidR="00807773">
        <w:t xml:space="preserve">  </w:t>
      </w:r>
      <w:r w:rsidR="00216976">
        <w:t xml:space="preserve"> </w:t>
      </w:r>
    </w:p>
    <w:p w14:paraId="7A7F52AE" w14:textId="77777777" w:rsidR="00FC4DD4" w:rsidRDefault="00683214" w:rsidP="0053685B">
      <w:r>
        <w:t xml:space="preserve">NERC </w:t>
      </w:r>
      <w:r w:rsidR="0053685B" w:rsidRPr="00BC2F0F">
        <w:t xml:space="preserve">distributed notice for the </w:t>
      </w:r>
      <w:r w:rsidR="00DE4285" w:rsidRPr="00BC2F0F">
        <w:t xml:space="preserve">posting on </w:t>
      </w:r>
      <w:r>
        <w:t xml:space="preserve">January 26, 2022. </w:t>
      </w:r>
    </w:p>
    <w:p w14:paraId="0C75E352" w14:textId="77777777" w:rsidR="00FC4DD4" w:rsidRDefault="00FC4DD4" w:rsidP="0053685B">
      <w:pPr>
        <w:rPr>
          <w:bCs/>
        </w:rPr>
      </w:pPr>
      <w:r>
        <w:rPr>
          <w:bCs/>
        </w:rPr>
        <w:t xml:space="preserve">Per WECC’s Reliability Standards Development Procedures (Procedures), </w:t>
      </w:r>
      <w:r w:rsidRPr="00FC4DD4">
        <w:rPr>
          <w:bCs/>
          <w:i/>
          <w:iCs/>
        </w:rPr>
        <w:t>substantive concerns</w:t>
      </w:r>
      <w:r w:rsidRPr="00FC4DD4">
        <w:rPr>
          <w:bCs/>
        </w:rPr>
        <w:t xml:space="preserve"> and suggestions for the drafting team </w:t>
      </w:r>
      <w:r>
        <w:rPr>
          <w:bCs/>
        </w:rPr>
        <w:t xml:space="preserve">are solicited and addressed during the WECC-provided Comment/Response period(s).  This project was posted for comment six times soliciting substantive comment on the project. </w:t>
      </w:r>
    </w:p>
    <w:p w14:paraId="179F1718" w14:textId="1EA81405" w:rsidR="00FC4DD4" w:rsidRDefault="00FC4DD4" w:rsidP="0053685B">
      <w:pPr>
        <w:rPr>
          <w:bCs/>
        </w:rPr>
      </w:pPr>
      <w:r>
        <w:rPr>
          <w:bCs/>
        </w:rPr>
        <w:t xml:space="preserve">By contrast, per NERC’s Rules of Procedure, </w:t>
      </w:r>
      <w:r w:rsidR="00683214" w:rsidRPr="00683214">
        <w:rPr>
          <w:bCs/>
        </w:rPr>
        <w:t xml:space="preserve">NERC’s </w:t>
      </w:r>
      <w:r w:rsidR="00683214">
        <w:rPr>
          <w:bCs/>
        </w:rPr>
        <w:t xml:space="preserve">45-day posting process </w:t>
      </w:r>
      <w:r>
        <w:rPr>
          <w:bCs/>
        </w:rPr>
        <w:t xml:space="preserve">is designed to address the sufficiency of the </w:t>
      </w:r>
      <w:r w:rsidRPr="00FC4DD4">
        <w:rPr>
          <w:bCs/>
          <w:i/>
          <w:iCs/>
        </w:rPr>
        <w:t>development proce</w:t>
      </w:r>
      <w:r>
        <w:rPr>
          <w:bCs/>
          <w:i/>
          <w:iCs/>
        </w:rPr>
        <w:t xml:space="preserve">ss </w:t>
      </w:r>
      <w:r>
        <w:rPr>
          <w:bCs/>
        </w:rPr>
        <w:t xml:space="preserve">through which the proposed Regional Reliability Standard (FAC-501-WECC-3) was developed. </w:t>
      </w:r>
    </w:p>
    <w:p w14:paraId="076215DA" w14:textId="7987CD0D" w:rsidR="00FC4DD4" w:rsidRDefault="008F2EF3" w:rsidP="0053685B">
      <w:pPr>
        <w:rPr>
          <w:bCs/>
        </w:rPr>
      </w:pPr>
      <w:r>
        <w:rPr>
          <w:bCs/>
        </w:rPr>
        <w:t>NERC received comments from the following:</w:t>
      </w:r>
    </w:p>
    <w:tbl>
      <w:tblPr>
        <w:tblStyle w:val="WECCTable"/>
        <w:tblW w:w="0" w:type="auto"/>
        <w:tblLook w:val="04A0" w:firstRow="1" w:lastRow="0" w:firstColumn="1" w:lastColumn="0" w:noHBand="0" w:noVBand="1"/>
      </w:tblPr>
      <w:tblGrid>
        <w:gridCol w:w="3685"/>
        <w:gridCol w:w="6385"/>
      </w:tblGrid>
      <w:tr w:rsidR="008F2EF3" w:rsidRPr="008F2EF3" w14:paraId="07969BF3"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3685" w:type="dxa"/>
          </w:tcPr>
          <w:p w14:paraId="14C723A7" w14:textId="77777777" w:rsidR="008F2EF3" w:rsidRPr="008F2EF3" w:rsidRDefault="008F2EF3" w:rsidP="008F2EF3">
            <w:pPr>
              <w:spacing w:after="120"/>
              <w:rPr>
                <w:color w:val="auto"/>
              </w:rPr>
            </w:pPr>
            <w:bookmarkStart w:id="2" w:name="_Hlk140231438"/>
            <w:r w:rsidRPr="008F2EF3">
              <w:rPr>
                <w:color w:val="auto"/>
              </w:rPr>
              <w:t>Commenter</w:t>
            </w:r>
          </w:p>
        </w:tc>
        <w:tc>
          <w:tcPr>
            <w:tcW w:w="6385" w:type="dxa"/>
          </w:tcPr>
          <w:p w14:paraId="36AF8BE5" w14:textId="77777777" w:rsidR="008F2EF3" w:rsidRPr="008F2EF3" w:rsidRDefault="008F2EF3" w:rsidP="008F2EF3">
            <w:pPr>
              <w:spacing w:after="120"/>
              <w:cnfStyle w:val="100000000000" w:firstRow="1" w:lastRow="0" w:firstColumn="0" w:lastColumn="0" w:oddVBand="0" w:evenVBand="0" w:oddHBand="0" w:evenHBand="0" w:firstRowFirstColumn="0" w:firstRowLastColumn="0" w:lastRowFirstColumn="0" w:lastRowLastColumn="0"/>
              <w:rPr>
                <w:color w:val="auto"/>
              </w:rPr>
            </w:pPr>
            <w:r w:rsidRPr="008F2EF3">
              <w:rPr>
                <w:color w:val="auto"/>
              </w:rPr>
              <w:t>Organization</w:t>
            </w:r>
          </w:p>
        </w:tc>
      </w:tr>
      <w:tr w:rsidR="008F2EF3" w:rsidRPr="008F2EF3" w14:paraId="22D0806B" w14:textId="77777777" w:rsidTr="008F2EF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779E0384" w14:textId="77777777" w:rsidR="008F2EF3" w:rsidRDefault="008F2EF3" w:rsidP="00610493">
            <w:r>
              <w:t>Alan Wahlstrom</w:t>
            </w:r>
          </w:p>
        </w:tc>
        <w:tc>
          <w:tcPr>
            <w:tcW w:w="6385" w:type="dxa"/>
          </w:tcPr>
          <w:p w14:paraId="03F9D797" w14:textId="77777777" w:rsidR="008F2EF3" w:rsidRDefault="008F2EF3" w:rsidP="00610493">
            <w:pPr>
              <w:cnfStyle w:val="000000100000" w:firstRow="0" w:lastRow="0" w:firstColumn="0" w:lastColumn="0" w:oddVBand="0" w:evenVBand="0" w:oddHBand="1" w:evenHBand="0" w:firstRowFirstColumn="0" w:firstRowLastColumn="0" w:lastRowFirstColumn="0" w:lastRowLastColumn="0"/>
              <w:rPr>
                <w:bCs/>
              </w:rPr>
            </w:pPr>
            <w:r>
              <w:rPr>
                <w:bCs/>
              </w:rPr>
              <w:t>Southwest Power Pool (SPP)</w:t>
            </w:r>
          </w:p>
        </w:tc>
      </w:tr>
      <w:tr w:rsidR="008F2EF3" w:rsidRPr="008F2EF3" w14:paraId="217611A3" w14:textId="77777777" w:rsidTr="008F2EF3">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485F04D7" w14:textId="77777777" w:rsidR="008F2EF3" w:rsidRDefault="008F2EF3" w:rsidP="00610493">
            <w:r>
              <w:t>Alyssia Rhoads</w:t>
            </w:r>
          </w:p>
        </w:tc>
        <w:tc>
          <w:tcPr>
            <w:tcW w:w="6385" w:type="dxa"/>
          </w:tcPr>
          <w:p w14:paraId="00499216" w14:textId="77777777" w:rsidR="008F2EF3" w:rsidRDefault="008F2EF3" w:rsidP="00610493">
            <w:pPr>
              <w:cnfStyle w:val="000000000000" w:firstRow="0" w:lastRow="0" w:firstColumn="0" w:lastColumn="0" w:oddVBand="0" w:evenVBand="0" w:oddHBand="0" w:evenHBand="0" w:firstRowFirstColumn="0" w:firstRowLastColumn="0" w:lastRowFirstColumn="0" w:lastRowLastColumn="0"/>
              <w:rPr>
                <w:bCs/>
              </w:rPr>
            </w:pPr>
            <w:r>
              <w:rPr>
                <w:bCs/>
              </w:rPr>
              <w:t>Snohomish County Public Utility District Number 1 (SCPUD)</w:t>
            </w:r>
          </w:p>
        </w:tc>
      </w:tr>
      <w:tr w:rsidR="008F2EF3" w:rsidRPr="008F2EF3" w14:paraId="43DACCA6" w14:textId="77777777" w:rsidTr="008F2EF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21CC6FE6" w14:textId="77777777" w:rsidR="008F2EF3" w:rsidRDefault="008F2EF3" w:rsidP="00610493">
            <w:r>
              <w:t>Cain Braveheart</w:t>
            </w:r>
          </w:p>
        </w:tc>
        <w:tc>
          <w:tcPr>
            <w:tcW w:w="6385" w:type="dxa"/>
          </w:tcPr>
          <w:p w14:paraId="3AED7CD5" w14:textId="77777777" w:rsidR="008F2EF3" w:rsidRDefault="008F2EF3" w:rsidP="00610493">
            <w:pPr>
              <w:cnfStyle w:val="000000100000" w:firstRow="0" w:lastRow="0" w:firstColumn="0" w:lastColumn="0" w:oddVBand="0" w:evenVBand="0" w:oddHBand="1" w:evenHBand="0" w:firstRowFirstColumn="0" w:firstRowLastColumn="0" w:lastRowFirstColumn="0" w:lastRowLastColumn="0"/>
              <w:rPr>
                <w:bCs/>
              </w:rPr>
            </w:pPr>
            <w:r>
              <w:rPr>
                <w:bCs/>
              </w:rPr>
              <w:t>Bonneville Power Administration (BPA)</w:t>
            </w:r>
          </w:p>
        </w:tc>
      </w:tr>
      <w:tr w:rsidR="008F2EF3" w:rsidRPr="008F2EF3" w14:paraId="14552D5F" w14:textId="77777777" w:rsidTr="008F2EF3">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7ED353E8" w14:textId="77777777" w:rsidR="008F2EF3" w:rsidRDefault="008F2EF3" w:rsidP="00610493">
            <w:r>
              <w:t>Carl Pineault</w:t>
            </w:r>
          </w:p>
        </w:tc>
        <w:tc>
          <w:tcPr>
            <w:tcW w:w="6385" w:type="dxa"/>
          </w:tcPr>
          <w:p w14:paraId="0C46D48F" w14:textId="77777777" w:rsidR="008F2EF3" w:rsidRDefault="008F2EF3" w:rsidP="00610493">
            <w:pPr>
              <w:cnfStyle w:val="000000000000" w:firstRow="0" w:lastRow="0" w:firstColumn="0" w:lastColumn="0" w:oddVBand="0" w:evenVBand="0" w:oddHBand="0" w:evenHBand="0" w:firstRowFirstColumn="0" w:firstRowLastColumn="0" w:lastRowFirstColumn="0" w:lastRowLastColumn="0"/>
              <w:rPr>
                <w:bCs/>
              </w:rPr>
            </w:pPr>
            <w:r>
              <w:rPr>
                <w:bCs/>
              </w:rPr>
              <w:t>Hydro-Quebec Production (HQP)</w:t>
            </w:r>
          </w:p>
        </w:tc>
      </w:tr>
      <w:tr w:rsidR="008F2EF3" w:rsidRPr="008F2EF3" w14:paraId="1AC4D044" w14:textId="77777777" w:rsidTr="008F2EF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569FE4CC" w14:textId="77777777" w:rsidR="008F2EF3" w:rsidRDefault="008F2EF3" w:rsidP="00610493">
            <w:r>
              <w:t>Daniella Atanasovski</w:t>
            </w:r>
          </w:p>
        </w:tc>
        <w:tc>
          <w:tcPr>
            <w:tcW w:w="6385" w:type="dxa"/>
          </w:tcPr>
          <w:p w14:paraId="4F195AFF" w14:textId="77777777" w:rsidR="008F2EF3" w:rsidRDefault="008F2EF3" w:rsidP="00610493">
            <w:pPr>
              <w:cnfStyle w:val="000000100000" w:firstRow="0" w:lastRow="0" w:firstColumn="0" w:lastColumn="0" w:oddVBand="0" w:evenVBand="0" w:oddHBand="1" w:evenHBand="0" w:firstRowFirstColumn="0" w:firstRowLastColumn="0" w:lastRowFirstColumn="0" w:lastRowLastColumn="0"/>
              <w:rPr>
                <w:bCs/>
              </w:rPr>
            </w:pPr>
            <w:r>
              <w:rPr>
                <w:bCs/>
              </w:rPr>
              <w:t>Arizona Public Service (APS)</w:t>
            </w:r>
          </w:p>
        </w:tc>
      </w:tr>
      <w:tr w:rsidR="008F2EF3" w:rsidRPr="008F2EF3" w14:paraId="5F5C2273" w14:textId="77777777" w:rsidTr="008F2EF3">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6510F631" w14:textId="77777777" w:rsidR="008F2EF3" w:rsidRDefault="008F2EF3" w:rsidP="00610493">
            <w:r>
              <w:t>Donna Wood</w:t>
            </w:r>
          </w:p>
        </w:tc>
        <w:tc>
          <w:tcPr>
            <w:tcW w:w="6385" w:type="dxa"/>
          </w:tcPr>
          <w:p w14:paraId="56C1AECF" w14:textId="77777777" w:rsidR="008F2EF3" w:rsidRDefault="008F2EF3" w:rsidP="00610493">
            <w:pPr>
              <w:cnfStyle w:val="000000000000" w:firstRow="0" w:lastRow="0" w:firstColumn="0" w:lastColumn="0" w:oddVBand="0" w:evenVBand="0" w:oddHBand="0" w:evenHBand="0" w:firstRowFirstColumn="0" w:firstRowLastColumn="0" w:lastRowFirstColumn="0" w:lastRowLastColumn="0"/>
              <w:rPr>
                <w:bCs/>
              </w:rPr>
            </w:pPr>
            <w:r>
              <w:rPr>
                <w:bCs/>
              </w:rPr>
              <w:t>Tri-State Generation and Transmission (Tri-State)</w:t>
            </w:r>
          </w:p>
        </w:tc>
      </w:tr>
      <w:tr w:rsidR="008F2EF3" w:rsidRPr="008F2EF3" w14:paraId="429D91DF" w14:textId="77777777" w:rsidTr="008F2EF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3FAF18EA" w14:textId="77777777" w:rsidR="008F2EF3" w:rsidRDefault="008F2EF3" w:rsidP="00610493">
            <w:r>
              <w:t>Jennifer Malon</w:t>
            </w:r>
          </w:p>
        </w:tc>
        <w:tc>
          <w:tcPr>
            <w:tcW w:w="6385" w:type="dxa"/>
          </w:tcPr>
          <w:p w14:paraId="3B5B8F84" w14:textId="77777777" w:rsidR="008F2EF3" w:rsidRDefault="008F2EF3" w:rsidP="00610493">
            <w:pPr>
              <w:cnfStyle w:val="000000100000" w:firstRow="0" w:lastRow="0" w:firstColumn="0" w:lastColumn="0" w:oddVBand="0" w:evenVBand="0" w:oddHBand="1" w:evenHBand="0" w:firstRowFirstColumn="0" w:firstRowLastColumn="0" w:lastRowFirstColumn="0" w:lastRowLastColumn="0"/>
              <w:rPr>
                <w:bCs/>
              </w:rPr>
            </w:pPr>
            <w:r>
              <w:rPr>
                <w:bCs/>
              </w:rPr>
              <w:t>Black Hills Corporation (BHC)</w:t>
            </w:r>
          </w:p>
        </w:tc>
      </w:tr>
      <w:tr w:rsidR="008F2EF3" w:rsidRPr="008F2EF3" w14:paraId="1A789B8C" w14:textId="77777777" w:rsidTr="008F2EF3">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7799777B" w14:textId="77777777" w:rsidR="008F2EF3" w:rsidRDefault="008F2EF3" w:rsidP="00610493">
            <w:r>
              <w:t>Jessica Turk</w:t>
            </w:r>
          </w:p>
        </w:tc>
        <w:tc>
          <w:tcPr>
            <w:tcW w:w="6385" w:type="dxa"/>
          </w:tcPr>
          <w:p w14:paraId="55899727" w14:textId="77777777" w:rsidR="008F2EF3" w:rsidRDefault="008F2EF3" w:rsidP="00610493">
            <w:pPr>
              <w:cnfStyle w:val="000000000000" w:firstRow="0" w:lastRow="0" w:firstColumn="0" w:lastColumn="0" w:oddVBand="0" w:evenVBand="0" w:oddHBand="0" w:evenHBand="0" w:firstRowFirstColumn="0" w:firstRowLastColumn="0" w:lastRowFirstColumn="0" w:lastRowLastColumn="0"/>
              <w:rPr>
                <w:bCs/>
              </w:rPr>
            </w:pPr>
            <w:r>
              <w:rPr>
                <w:bCs/>
              </w:rPr>
              <w:t>Avista</w:t>
            </w:r>
          </w:p>
        </w:tc>
      </w:tr>
      <w:tr w:rsidR="008F2EF3" w:rsidRPr="008F2EF3" w14:paraId="307ADF30" w14:textId="77777777" w:rsidTr="008F2EF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149E7112" w14:textId="77777777" w:rsidR="008F2EF3" w:rsidRDefault="008F2EF3" w:rsidP="00610493">
            <w:r>
              <w:t>Matthew Jaramilla</w:t>
            </w:r>
          </w:p>
        </w:tc>
        <w:tc>
          <w:tcPr>
            <w:tcW w:w="6385" w:type="dxa"/>
          </w:tcPr>
          <w:p w14:paraId="1D646B73" w14:textId="77777777" w:rsidR="008F2EF3" w:rsidRDefault="008F2EF3" w:rsidP="00610493">
            <w:pPr>
              <w:cnfStyle w:val="000000100000" w:firstRow="0" w:lastRow="0" w:firstColumn="0" w:lastColumn="0" w:oddVBand="0" w:evenVBand="0" w:oddHBand="1" w:evenHBand="0" w:firstRowFirstColumn="0" w:firstRowLastColumn="0" w:lastRowFirstColumn="0" w:lastRowLastColumn="0"/>
              <w:rPr>
                <w:bCs/>
              </w:rPr>
            </w:pPr>
            <w:r>
              <w:rPr>
                <w:bCs/>
              </w:rPr>
              <w:t>Salt River Project (SRP)</w:t>
            </w:r>
          </w:p>
        </w:tc>
      </w:tr>
      <w:tr w:rsidR="008F2EF3" w:rsidRPr="008F2EF3" w14:paraId="4EC8EFC7" w14:textId="77777777" w:rsidTr="008F2EF3">
        <w:trPr>
          <w:trHeight w:val="37"/>
        </w:trPr>
        <w:tc>
          <w:tcPr>
            <w:cnfStyle w:val="001000000000" w:firstRow="0" w:lastRow="0" w:firstColumn="1" w:lastColumn="0" w:oddVBand="0" w:evenVBand="0" w:oddHBand="0" w:evenHBand="0" w:firstRowFirstColumn="0" w:firstRowLastColumn="0" w:lastRowFirstColumn="0" w:lastRowLastColumn="0"/>
            <w:tcW w:w="3685" w:type="dxa"/>
          </w:tcPr>
          <w:p w14:paraId="7833DA06" w14:textId="77777777" w:rsidR="008F2EF3" w:rsidRDefault="008F2EF3" w:rsidP="00610493">
            <w:r>
              <w:t>Richard Jackson</w:t>
            </w:r>
          </w:p>
        </w:tc>
        <w:tc>
          <w:tcPr>
            <w:tcW w:w="6385" w:type="dxa"/>
          </w:tcPr>
          <w:p w14:paraId="78401DEC" w14:textId="77777777" w:rsidR="008F2EF3" w:rsidRDefault="008F2EF3" w:rsidP="00610493">
            <w:pPr>
              <w:cnfStyle w:val="000000000000" w:firstRow="0" w:lastRow="0" w:firstColumn="0" w:lastColumn="0" w:oddVBand="0" w:evenVBand="0" w:oddHBand="0" w:evenHBand="0" w:firstRowFirstColumn="0" w:firstRowLastColumn="0" w:lastRowFirstColumn="0" w:lastRowLastColumn="0"/>
              <w:rPr>
                <w:bCs/>
              </w:rPr>
            </w:pPr>
            <w:r>
              <w:rPr>
                <w:bCs/>
              </w:rPr>
              <w:t>United States Bureau of Reclamation (USBR)</w:t>
            </w:r>
          </w:p>
        </w:tc>
      </w:tr>
      <w:tr w:rsidR="008F2EF3" w:rsidRPr="008F2EF3" w14:paraId="4981E7A3" w14:textId="77777777" w:rsidTr="00610493">
        <w:trPr>
          <w:cnfStyle w:val="000000100000" w:firstRow="0" w:lastRow="0" w:firstColumn="0" w:lastColumn="0" w:oddVBand="0" w:evenVBand="0" w:oddHBand="1" w:evenHBand="0" w:firstRowFirstColumn="0" w:firstRowLastColumn="0" w:lastRowFirstColumn="0" w:lastRowLastColumn="0"/>
          <w:trHeight w:val="37"/>
        </w:trPr>
        <w:tc>
          <w:tcPr>
            <w:cnfStyle w:val="001000000000" w:firstRow="0" w:lastRow="0" w:firstColumn="1" w:lastColumn="0" w:oddVBand="0" w:evenVBand="0" w:oddHBand="0" w:evenHBand="0" w:firstRowFirstColumn="0" w:firstRowLastColumn="0" w:lastRowFirstColumn="0" w:lastRowLastColumn="0"/>
            <w:tcW w:w="3685" w:type="dxa"/>
          </w:tcPr>
          <w:p w14:paraId="37E95EE4" w14:textId="19802214" w:rsidR="008F2EF3" w:rsidRPr="008F2EF3" w:rsidRDefault="008F2EF3" w:rsidP="008F2EF3">
            <w:pPr>
              <w:spacing w:after="120"/>
            </w:pPr>
            <w:r>
              <w:t>Shannon Mickens</w:t>
            </w:r>
          </w:p>
        </w:tc>
        <w:tc>
          <w:tcPr>
            <w:tcW w:w="6385" w:type="dxa"/>
          </w:tcPr>
          <w:p w14:paraId="0EEA31B7" w14:textId="6F459B8C" w:rsidR="008F2EF3" w:rsidRPr="008F2EF3" w:rsidRDefault="008F2EF3" w:rsidP="008F2EF3">
            <w:pPr>
              <w:spacing w:after="120"/>
              <w:cnfStyle w:val="000000100000" w:firstRow="0" w:lastRow="0" w:firstColumn="0" w:lastColumn="0" w:oddVBand="0" w:evenVBand="0" w:oddHBand="1" w:evenHBand="0" w:firstRowFirstColumn="0" w:firstRowLastColumn="0" w:lastRowFirstColumn="0" w:lastRowLastColumn="0"/>
              <w:rPr>
                <w:bCs/>
              </w:rPr>
            </w:pPr>
            <w:r>
              <w:rPr>
                <w:bCs/>
              </w:rPr>
              <w:t>Southwest Power Pool (SPP)</w:t>
            </w:r>
          </w:p>
        </w:tc>
      </w:tr>
      <w:bookmarkEnd w:id="2"/>
    </w:tbl>
    <w:p w14:paraId="45A07628" w14:textId="77777777" w:rsidR="008F2EF3" w:rsidRDefault="008F2EF3" w:rsidP="0053685B">
      <w:pPr>
        <w:rPr>
          <w:bCs/>
        </w:rPr>
      </w:pPr>
    </w:p>
    <w:p w14:paraId="2BD6F548" w14:textId="77777777" w:rsidR="008B6FF1" w:rsidRDefault="008B6FF1" w:rsidP="0053685B">
      <w:pPr>
        <w:rPr>
          <w:bCs/>
        </w:rPr>
      </w:pPr>
    </w:p>
    <w:p w14:paraId="3AB652C3" w14:textId="77777777" w:rsidR="008B6FF1" w:rsidRDefault="008B6FF1" w:rsidP="008B6FF1">
      <w:pPr>
        <w:pStyle w:val="Heading2"/>
      </w:pPr>
      <w:r>
        <w:lastRenderedPageBreak/>
        <w:t>Location of Comments</w:t>
      </w:r>
    </w:p>
    <w:p w14:paraId="7F91C7EC" w14:textId="22D45344" w:rsidR="008B6FF1" w:rsidRDefault="008B6FF1" w:rsidP="008B6FF1">
      <w:r>
        <w:t xml:space="preserve">Comments can be viewed in their original </w:t>
      </w:r>
      <w:r w:rsidR="00D8761C">
        <w:t xml:space="preserve">NERC-provided </w:t>
      </w:r>
      <w:r>
        <w:t>format on the WECC-0141 project page under the “Submit and Review Comments” accordion.</w:t>
      </w:r>
    </w:p>
    <w:p w14:paraId="6F69319F" w14:textId="796C8013" w:rsidR="008B6FF1" w:rsidRPr="00375E12" w:rsidRDefault="008B6FF1" w:rsidP="008B6FF1">
      <w:pPr>
        <w:rPr>
          <w:rFonts w:asciiTheme="majorHAnsi" w:hAnsiTheme="majorHAnsi"/>
          <w:b/>
          <w:sz w:val="24"/>
          <w:szCs w:val="24"/>
        </w:rPr>
      </w:pPr>
      <w:r>
        <w:rPr>
          <w:rFonts w:asciiTheme="majorHAnsi" w:hAnsiTheme="majorHAnsi"/>
          <w:b/>
          <w:sz w:val="24"/>
          <w:szCs w:val="24"/>
        </w:rPr>
        <w:t>Depth of Participation</w:t>
      </w:r>
    </w:p>
    <w:p w14:paraId="1F64242B" w14:textId="40E78BAD" w:rsidR="008B6FF1" w:rsidRDefault="008B6FF1" w:rsidP="008B6FF1">
      <w:r>
        <w:t>WECC and the WECC-0141 DT appreciate the opportunity to address comments provided by SCPUD</w:t>
      </w:r>
      <w:r w:rsidR="00D8761C">
        <w:t xml:space="preserve"> and others</w:t>
      </w:r>
      <w:r>
        <w:t>; however, SCPUD’s late appearance does raise concern.</w:t>
      </w:r>
    </w:p>
    <w:p w14:paraId="5415F17E" w14:textId="52B9DE3F" w:rsidR="008B6FF1" w:rsidRDefault="008B6FF1" w:rsidP="008B6FF1">
      <w:r>
        <w:t>WECC notes that this project was posted for comment on six separate occasions between August 3, 2020, and August 28, 2021, with an overall development window spanning a full two years.  Eighteen public meetings were held soliciting public comment on substantive issues.</w:t>
      </w:r>
      <w:r>
        <w:rPr>
          <w:rStyle w:val="FootnoteReference"/>
        </w:rPr>
        <w:footnoteReference w:id="1"/>
      </w:r>
      <w:r>
        <w:t xml:space="preserve"> </w:t>
      </w:r>
    </w:p>
    <w:p w14:paraId="1943F831" w14:textId="5FCC3D4C" w:rsidR="00D8761C" w:rsidRDefault="00D8761C" w:rsidP="008B6FF1">
      <w:r>
        <w:t xml:space="preserve">There is no indication that SCPUD engaged in the substantive development process nor in the finalizing ballot for the project. </w:t>
      </w:r>
    </w:p>
    <w:p w14:paraId="5FCC4BE7" w14:textId="207CF30C" w:rsidR="008B6FF1" w:rsidRDefault="008B6FF1" w:rsidP="008B6FF1">
      <w:r>
        <w:t>S</w:t>
      </w:r>
      <w:r w:rsidR="00D8761C">
        <w:t>C</w:t>
      </w:r>
      <w:r>
        <w:t xml:space="preserve">PUD was well represented on the Procedurally mandated Standards Email List whereby notice for each step of this process was provided. </w:t>
      </w:r>
    </w:p>
    <w:p w14:paraId="3B88C54B" w14:textId="77777777" w:rsidR="008B6FF1" w:rsidRDefault="008B6FF1" w:rsidP="008B6FF1">
      <w:r>
        <w:t xml:space="preserve">Per Order 672, P 334, FERC “will not be sympathetic to arguments by interested parties that choose, for whatever reason, not to participate in the ERO’s Reliability Standard development process…” </w:t>
      </w:r>
    </w:p>
    <w:p w14:paraId="08CFB85A" w14:textId="77777777" w:rsidR="008B6FF1" w:rsidRPr="008B6FF1" w:rsidRDefault="008B6FF1" w:rsidP="008B6FF1">
      <w:pPr>
        <w:keepNext/>
        <w:keepLines/>
        <w:suppressAutoHyphens/>
        <w:spacing w:before="240"/>
        <w:outlineLvl w:val="1"/>
        <w:rPr>
          <w:rFonts w:ascii="Lucida Sans" w:eastAsia="Palatino Linotype" w:hAnsi="Lucida Sans" w:cs="Times New Roman"/>
          <w:b/>
          <w:sz w:val="24"/>
        </w:rPr>
      </w:pPr>
      <w:r w:rsidRPr="008B6FF1">
        <w:rPr>
          <w:rFonts w:ascii="Lucida Sans" w:eastAsia="Palatino Linotype" w:hAnsi="Lucida Sans" w:cs="Times New Roman"/>
          <w:b/>
          <w:sz w:val="24"/>
        </w:rPr>
        <w:t xml:space="preserve">Changes in Response to Comment </w:t>
      </w:r>
    </w:p>
    <w:p w14:paraId="23E0010E" w14:textId="16387527" w:rsidR="008B6FF1" w:rsidRPr="008B6FF1" w:rsidRDefault="008B6FF1" w:rsidP="008B6FF1">
      <w:pPr>
        <w:rPr>
          <w:rFonts w:eastAsia="Palatino Linotype" w:cs="Times New Roman"/>
        </w:rPr>
      </w:pPr>
      <w:bookmarkStart w:id="3" w:name="_Hlk68172394"/>
      <w:r w:rsidRPr="008B6FF1">
        <w:rPr>
          <w:rFonts w:eastAsia="Palatino Linotype" w:cs="Times New Roman"/>
        </w:rPr>
        <w:t xml:space="preserve">After full consideration </w:t>
      </w:r>
      <w:r w:rsidR="00D8761C">
        <w:rPr>
          <w:rFonts w:eastAsia="Palatino Linotype" w:cs="Times New Roman"/>
        </w:rPr>
        <w:t xml:space="preserve">of all comments received </w:t>
      </w:r>
      <w:r w:rsidRPr="008B6FF1">
        <w:rPr>
          <w:rFonts w:eastAsia="Palatino Linotype" w:cs="Times New Roman"/>
        </w:rPr>
        <w:t>(both in and out of scope), the WECC-0141 DT chose to make no further changes to the project.</w:t>
      </w:r>
    </w:p>
    <w:p w14:paraId="63953DF1" w14:textId="58784605" w:rsidR="008B6FF1" w:rsidRDefault="008B6FF1" w:rsidP="008B6FF1">
      <w:pPr>
        <w:rPr>
          <w:rFonts w:eastAsia="Palatino Linotype" w:cs="Times New Roman"/>
        </w:rPr>
      </w:pPr>
      <w:r w:rsidRPr="008B6FF1">
        <w:rPr>
          <w:rFonts w:eastAsia="Palatino Linotype" w:cs="Times New Roman"/>
        </w:rPr>
        <w:t xml:space="preserve">All entities addressing the </w:t>
      </w:r>
      <w:r w:rsidR="00943E3E" w:rsidRPr="008B6FF1">
        <w:rPr>
          <w:rFonts w:eastAsia="Palatino Linotype" w:cs="Times New Roman"/>
        </w:rPr>
        <w:t>Procedurally based</w:t>
      </w:r>
      <w:r w:rsidRPr="008B6FF1">
        <w:rPr>
          <w:rFonts w:eastAsia="Palatino Linotype" w:cs="Times New Roman"/>
        </w:rPr>
        <w:t xml:space="preserve"> questions </w:t>
      </w:r>
      <w:r w:rsidR="00D8761C">
        <w:rPr>
          <w:rFonts w:eastAsia="Palatino Linotype" w:cs="Times New Roman"/>
        </w:rPr>
        <w:t xml:space="preserve">posed by NERC </w:t>
      </w:r>
      <w:r w:rsidRPr="008B6FF1">
        <w:rPr>
          <w:rFonts w:eastAsia="Palatino Linotype" w:cs="Times New Roman"/>
        </w:rPr>
        <w:t xml:space="preserve">support the premise that the project was developed in a fair, open, and transparent manner. One entity in dissent provided responses outside of the scope and call of NERC’s questions. </w:t>
      </w:r>
    </w:p>
    <w:p w14:paraId="4C917AA2" w14:textId="77777777" w:rsidR="008B6FF1" w:rsidRPr="0018254C" w:rsidRDefault="008B6FF1" w:rsidP="008B6FF1">
      <w:pPr>
        <w:pStyle w:val="Heading2"/>
      </w:pPr>
      <w:r w:rsidRPr="0018254C">
        <w:t>Minority View</w:t>
      </w:r>
    </w:p>
    <w:p w14:paraId="0832A502" w14:textId="0D84E6AE" w:rsidR="008B6FF1" w:rsidRDefault="008B6FF1" w:rsidP="008B6FF1">
      <w:r>
        <w:t xml:space="preserve">Only one utility (SCPUD) provided comments or concerns regarding the project. All others were in support of the project.  SCPUD did not directly </w:t>
      </w:r>
      <w:r w:rsidR="00D8761C">
        <w:t xml:space="preserve">respond to </w:t>
      </w:r>
      <w:r>
        <w:t xml:space="preserve">many of NERC’s </w:t>
      </w:r>
      <w:r w:rsidR="00943E3E">
        <w:t>Procedurally focused</w:t>
      </w:r>
      <w:r>
        <w:t xml:space="preserve"> questions regarding the open, fair, and transparent development of the project. </w:t>
      </w:r>
    </w:p>
    <w:p w14:paraId="19F0EE5C" w14:textId="34173C84" w:rsidR="008B6FF1" w:rsidRDefault="008B6FF1" w:rsidP="008B6FF1">
      <w:r>
        <w:t xml:space="preserve">SCPUD’s comments were </w:t>
      </w:r>
      <w:r w:rsidR="00D8761C">
        <w:t xml:space="preserve">focused on making substantive changes to the project.  </w:t>
      </w:r>
      <w:r>
        <w:t xml:space="preserve">Many of SCPUD’s concerns were previously addressed during the two-year development window producing six separate postings with an invitation for comment. </w:t>
      </w:r>
    </w:p>
    <w:p w14:paraId="70C21671" w14:textId="77777777" w:rsidR="008B6FF1" w:rsidRDefault="008B6FF1" w:rsidP="008B6FF1">
      <w:r>
        <w:t>During the two-year development period, SCPUD neither provided comments nor participated in the balloting process.</w:t>
      </w:r>
    </w:p>
    <w:p w14:paraId="2CFEA546" w14:textId="77777777" w:rsidR="008B6FF1" w:rsidRPr="008B6FF1" w:rsidRDefault="008B6FF1" w:rsidP="008B6FF1">
      <w:pPr>
        <w:rPr>
          <w:i/>
          <w:iCs/>
        </w:rPr>
      </w:pPr>
      <w:r w:rsidRPr="008B6FF1">
        <w:rPr>
          <w:i/>
          <w:iCs/>
        </w:rPr>
        <w:t>Subsequent Entry:</w:t>
      </w:r>
    </w:p>
    <w:p w14:paraId="02E20762" w14:textId="40DC7252" w:rsidR="00D8761C" w:rsidRDefault="00D8761C" w:rsidP="008B6FF1">
      <w:r>
        <w:t xml:space="preserve">This </w:t>
      </w:r>
      <w:r w:rsidR="008B6FF1">
        <w:t>project was augmented by WECC-0149, Table Revision Process.</w:t>
      </w:r>
      <w:r>
        <w:t xml:space="preserve">  During the substantive development of WECC-0149, the industry was invited to contribute further comments during two postings for comments, four drafting team meetings, a WSC meeting, a Standards Briefing, and a WECC Board of Directors meeting.  Further comments could also be submitted during the balloting process.</w:t>
      </w:r>
    </w:p>
    <w:p w14:paraId="18D9969A" w14:textId="77777777" w:rsidR="00D8761C" w:rsidRDefault="00D8761C" w:rsidP="008B6FF1">
      <w:r>
        <w:t xml:space="preserve">SCPUD did not provide comments in either posting or Standards Briefing, nor did SCPUD participate in the WECC-0149 finalizing ballot, during which additional comments could have been provided. </w:t>
      </w:r>
    </w:p>
    <w:p w14:paraId="502B5E04" w14:textId="77777777" w:rsidR="00D8761C" w:rsidRDefault="00D8761C" w:rsidP="00D8761C">
      <w:pPr>
        <w:pStyle w:val="Heading2"/>
        <w:tabs>
          <w:tab w:val="left" w:pos="6809"/>
        </w:tabs>
      </w:pPr>
      <w:r>
        <w:t>Proposed Effective Date</w:t>
      </w:r>
      <w:r>
        <w:tab/>
      </w:r>
    </w:p>
    <w:p w14:paraId="2AC2AB5A" w14:textId="4FA02F2C" w:rsidR="00D8761C" w:rsidRDefault="00D8761C" w:rsidP="00D8761C">
      <w:r w:rsidRPr="004969FA">
        <w:t xml:space="preserve">The proposed effective </w:t>
      </w:r>
      <w:r>
        <w:t xml:space="preserve">date </w:t>
      </w:r>
      <w:r w:rsidRPr="004969FA">
        <w:t>is the “First day of the second quarter following regulatory approval.”</w:t>
      </w:r>
      <w:r>
        <w:rPr>
          <w:b/>
        </w:rPr>
        <w:t xml:space="preserve"> </w:t>
      </w:r>
      <w:r w:rsidRPr="004969FA">
        <w:t>Because changes to FAC-501-WECC</w:t>
      </w:r>
      <w:r>
        <w:t xml:space="preserve">-2, </w:t>
      </w:r>
      <w:r w:rsidRPr="004969FA">
        <w:t xml:space="preserve">Transmission Maintenance may </w:t>
      </w:r>
      <w:r>
        <w:t>affect</w:t>
      </w:r>
      <w:r w:rsidRPr="004969FA">
        <w:t xml:space="preserve"> other NERC Standards, the drafting team recommendation is that NERC review those other </w:t>
      </w:r>
      <w:r>
        <w:t>S</w:t>
      </w:r>
      <w:r w:rsidRPr="004969FA">
        <w:t>tandards and consider a coordinated implementation date if deemed appropriate by NERC.</w:t>
      </w:r>
      <w:r>
        <w:t xml:space="preserve">  (</w:t>
      </w:r>
      <w:r w:rsidRPr="004969FA">
        <w:t xml:space="preserve">See </w:t>
      </w:r>
      <w:r>
        <w:t xml:space="preserve">the Implementation Plan, Posting 5 and Attachment F, Implementation Plan included with the NERC filing.) </w:t>
      </w:r>
    </w:p>
    <w:p w14:paraId="64C3D4D0" w14:textId="77777777" w:rsidR="00D8761C" w:rsidRDefault="00D8761C" w:rsidP="00D8761C">
      <w:pPr>
        <w:pStyle w:val="Heading2"/>
      </w:pPr>
      <w:r>
        <w:t xml:space="preserve">Action Plan </w:t>
      </w:r>
    </w:p>
    <w:p w14:paraId="62507C8E" w14:textId="77777777" w:rsidR="00D8761C" w:rsidRDefault="00D8761C" w:rsidP="00D8761C">
      <w:bookmarkStart w:id="4" w:name="_Hlk72838049"/>
      <w:r>
        <w:t>This project has been approved by a WECC Ballot Pool, the WECC Standards Committee, and the WECC Board of Directors. The project will be forwarded to NERC with a request for NERC/FERC disposition.</w:t>
      </w:r>
    </w:p>
    <w:p w14:paraId="227F1C09" w14:textId="77777777" w:rsidR="00D8761C" w:rsidRPr="00D8761C" w:rsidRDefault="00D8761C" w:rsidP="00D8761C">
      <w:pPr>
        <w:rPr>
          <w:i/>
          <w:iCs/>
        </w:rPr>
      </w:pPr>
      <w:r w:rsidRPr="00D8761C">
        <w:rPr>
          <w:i/>
          <w:iCs/>
        </w:rPr>
        <w:t>Subsequent Entry:</w:t>
      </w:r>
    </w:p>
    <w:p w14:paraId="47C82619" w14:textId="0068F4B5" w:rsidR="00D8761C" w:rsidRDefault="00D8761C" w:rsidP="00D8761C">
      <w:r>
        <w:t xml:space="preserve">After discussions with NERC regarding implementation of WECC-0141, NERC and WECC concluded that with minor changes to the Implementation Plan, proposed changes could be implemented more quickly.  WECC-0149, Table Revision Process, was developed and completed to meet that need.  </w:t>
      </w:r>
    </w:p>
    <w:bookmarkEnd w:id="4"/>
    <w:bookmarkEnd w:id="3"/>
    <w:bookmarkEnd w:id="1"/>
    <w:p w14:paraId="02BC1AAF" w14:textId="60351844" w:rsidR="0094025E" w:rsidRPr="0094025E" w:rsidRDefault="0094025E" w:rsidP="0094025E">
      <w:pPr>
        <w:suppressAutoHyphens/>
        <w:spacing w:before="240"/>
        <w:outlineLvl w:val="1"/>
        <w:rPr>
          <w:rFonts w:ascii="Lucida Sans" w:eastAsia="Palatino Linotype" w:hAnsi="Lucida Sans" w:cs="Times New Roman"/>
          <w:b/>
          <w:sz w:val="24"/>
        </w:rPr>
      </w:pPr>
      <w:r w:rsidRPr="0094025E">
        <w:rPr>
          <w:rFonts w:ascii="Lucida Sans" w:eastAsia="Palatino Linotype" w:hAnsi="Lucida Sans" w:cs="Times New Roman"/>
          <w:b/>
          <w:sz w:val="24"/>
        </w:rPr>
        <w:t xml:space="preserve">Impact on Other </w:t>
      </w:r>
      <w:r w:rsidR="00A27E3A">
        <w:rPr>
          <w:rFonts w:ascii="Lucida Sans" w:eastAsia="Palatino Linotype" w:hAnsi="Lucida Sans" w:cs="Times New Roman"/>
          <w:b/>
          <w:sz w:val="24"/>
        </w:rPr>
        <w:t xml:space="preserve">WECC </w:t>
      </w:r>
      <w:r w:rsidR="007C2E8E">
        <w:rPr>
          <w:rFonts w:ascii="Lucida Sans" w:eastAsia="Palatino Linotype" w:hAnsi="Lucida Sans" w:cs="Times New Roman"/>
          <w:b/>
          <w:sz w:val="24"/>
        </w:rPr>
        <w:t>Documents</w:t>
      </w:r>
    </w:p>
    <w:p w14:paraId="7540AB97" w14:textId="16EB3E24" w:rsidR="004D30E6" w:rsidRPr="004D30E6" w:rsidRDefault="003E7DCF" w:rsidP="0094025E">
      <w:pPr>
        <w:rPr>
          <w:rFonts w:eastAsia="Palatino Linotype" w:cs="Times New Roman"/>
        </w:rPr>
      </w:pPr>
      <w:r w:rsidRPr="004D30E6">
        <w:rPr>
          <w:rFonts w:eastAsia="Palatino Linotype" w:cs="Times New Roman"/>
        </w:rPr>
        <w:t xml:space="preserve">Please see </w:t>
      </w:r>
      <w:r w:rsidR="00D8761C">
        <w:rPr>
          <w:rFonts w:eastAsia="Palatino Linotype" w:cs="Times New Roman"/>
        </w:rPr>
        <w:t xml:space="preserve">WECC-0141, </w:t>
      </w:r>
      <w:r w:rsidR="004D30E6" w:rsidRPr="004D30E6">
        <w:rPr>
          <w:rFonts w:eastAsia="Palatino Linotype" w:cs="Times New Roman"/>
        </w:rPr>
        <w:t xml:space="preserve">Posting 1, </w:t>
      </w:r>
      <w:r w:rsidR="004D30E6">
        <w:rPr>
          <w:rFonts w:eastAsia="Palatino Linotype" w:cs="Times New Roman"/>
        </w:rPr>
        <w:t xml:space="preserve">Section </w:t>
      </w:r>
      <w:r w:rsidR="004D30E6" w:rsidRPr="004D30E6">
        <w:rPr>
          <w:rFonts w:eastAsia="Palatino Linotype" w:cs="Times New Roman"/>
        </w:rPr>
        <w:t xml:space="preserve">5.2 </w:t>
      </w:r>
      <w:r w:rsidRPr="004D30E6">
        <w:rPr>
          <w:rFonts w:eastAsia="Palatino Linotype" w:cs="Times New Roman"/>
        </w:rPr>
        <w:t xml:space="preserve">for information regarding </w:t>
      </w:r>
      <w:r w:rsidR="004D30E6" w:rsidRPr="004D30E6">
        <w:rPr>
          <w:rFonts w:eastAsia="Palatino Linotype" w:cs="Times New Roman"/>
        </w:rPr>
        <w:t>other documents impacted by this project.</w:t>
      </w:r>
      <w:r w:rsidR="00216976">
        <w:rPr>
          <w:rFonts w:eastAsia="Palatino Linotype" w:cs="Times New Roman"/>
        </w:rPr>
        <w:t xml:space="preserve"> </w:t>
      </w:r>
      <w:r w:rsidR="004D30E6" w:rsidRPr="004D30E6">
        <w:rPr>
          <w:rFonts w:eastAsia="Palatino Linotype" w:cs="Times New Roman"/>
        </w:rPr>
        <w:t xml:space="preserve">They are specified as: </w:t>
      </w:r>
    </w:p>
    <w:p w14:paraId="4D03B27F" w14:textId="77777777" w:rsidR="004D30E6" w:rsidRPr="000D3E2E" w:rsidRDefault="004D30E6" w:rsidP="002271E7">
      <w:pPr>
        <w:pStyle w:val="ListParagraph"/>
        <w:ind w:left="720"/>
      </w:pPr>
      <w:bookmarkStart w:id="5" w:name="_Hlk108519517"/>
      <w:r w:rsidRPr="000D3E2E">
        <w:t>FAC-003-4, Transmission Vegetation Management referencing the “Major WECC Transfer Path in the Bulk Electric System by WECC”;</w:t>
      </w:r>
    </w:p>
    <w:p w14:paraId="21E388AE" w14:textId="1407E5DB" w:rsidR="004D30E6" w:rsidRPr="000D3E2E" w:rsidRDefault="004D30E6" w:rsidP="002271E7">
      <w:pPr>
        <w:pStyle w:val="ListParagraph"/>
        <w:ind w:left="720"/>
      </w:pPr>
      <w:r w:rsidRPr="000D3E2E">
        <w:t>FAC-501-WECC-4, Transmission Maintenance referencing the “Major</w:t>
      </w:r>
      <w:r w:rsidR="00216976" w:rsidRPr="000D3E2E">
        <w:t xml:space="preserve"> </w:t>
      </w:r>
      <w:r w:rsidRPr="000D3E2E">
        <w:t>WECC Transfer Paths in the Bulk Electric System (Table).”</w:t>
      </w:r>
    </w:p>
    <w:p w14:paraId="30FF4D2F" w14:textId="24E43117" w:rsidR="004D30E6" w:rsidRPr="000D3E2E" w:rsidRDefault="004D30E6" w:rsidP="002271E7">
      <w:pPr>
        <w:pStyle w:val="ListParagraph"/>
        <w:ind w:left="720"/>
      </w:pPr>
      <w:r w:rsidRPr="000D3E2E">
        <w:t>PRC-023-4, Transmission Relay Loadability referencing a “major transfer path within the Western Interconnection as defined by the Regional Entity”; and,</w:t>
      </w:r>
      <w:r w:rsidR="00216976" w:rsidRPr="000D3E2E">
        <w:t xml:space="preserve"> </w:t>
      </w:r>
    </w:p>
    <w:p w14:paraId="60B530C9" w14:textId="4F7E0361" w:rsidR="007C2E8E" w:rsidRPr="002271E7" w:rsidRDefault="004D30E6" w:rsidP="002271E7">
      <w:pPr>
        <w:pStyle w:val="ListParagraph"/>
        <w:ind w:left="720"/>
      </w:pPr>
      <w:r w:rsidRPr="000D3E2E">
        <w:t>The NERC Glossary of Terms Used in Reliability Standards referencing a “major transfer path within the Western Interconnection.”</w:t>
      </w:r>
      <w:bookmarkEnd w:id="5"/>
    </w:p>
    <w:p w14:paraId="6E4FE88A" w14:textId="77777777" w:rsidR="0053685B" w:rsidRDefault="0053685B" w:rsidP="0053685B">
      <w:pPr>
        <w:pStyle w:val="Heading2"/>
      </w:pPr>
      <w:r w:rsidRPr="005A728A">
        <w:t>Contacts and Appeals</w:t>
      </w:r>
    </w:p>
    <w:p w14:paraId="0A98E9C0" w14:textId="3A4E5BA8" w:rsidR="00D8761C" w:rsidRDefault="0053685B" w:rsidP="008E2D28">
      <w:r>
        <w:t xml:space="preserve">If you feel your comment has been omitted or overlooked, please contact </w:t>
      </w:r>
      <w:hyperlink r:id="rId12" w:history="1">
        <w:r w:rsidR="005A728A">
          <w:rPr>
            <w:rStyle w:val="Hyperlink"/>
          </w:rPr>
          <w:t>W. Shannon Black</w:t>
        </w:r>
      </w:hyperlink>
      <w:r w:rsidR="005A728A">
        <w:t xml:space="preserve">, </w:t>
      </w:r>
      <w:r>
        <w:t>WECC Consultant, at (503) 307-5782. In addition, there is a WECC Reliability Standards appeals process.</w:t>
      </w:r>
    </w:p>
    <w:p w14:paraId="6B1F1232" w14:textId="77777777" w:rsidR="00D8761C" w:rsidRDefault="00D8761C">
      <w:r>
        <w:br w:type="page"/>
      </w:r>
    </w:p>
    <w:p w14:paraId="5E0F8582" w14:textId="77777777" w:rsidR="00D8761C" w:rsidRDefault="00D8761C" w:rsidP="00D8761C">
      <w:pPr>
        <w:pStyle w:val="Heading1"/>
      </w:pPr>
      <w:r>
        <w:t>Index to Questions, Comments, and Responses</w:t>
      </w:r>
    </w:p>
    <w:p w14:paraId="1481C2C4" w14:textId="77777777" w:rsidR="00D8761C" w:rsidRPr="00FE1F08" w:rsidRDefault="00D8761C" w:rsidP="00D8761C">
      <w:pPr>
        <w:pStyle w:val="Heading3"/>
        <w:rPr>
          <w:sz w:val="20"/>
          <w:szCs w:val="20"/>
        </w:rPr>
      </w:pPr>
      <w:r w:rsidRPr="00FE1F08">
        <w:rPr>
          <w:sz w:val="20"/>
          <w:szCs w:val="20"/>
        </w:rPr>
        <w:t>Question</w:t>
      </w:r>
    </w:p>
    <w:p w14:paraId="51199A51" w14:textId="77777777" w:rsidR="00D8761C" w:rsidRPr="000A3759" w:rsidRDefault="00D8761C" w:rsidP="00D8761C">
      <w:pPr>
        <w:pStyle w:val="ListParagraph"/>
        <w:numPr>
          <w:ilvl w:val="0"/>
          <w:numId w:val="45"/>
        </w:numPr>
        <w:rPr>
          <w:sz w:val="20"/>
          <w:szCs w:val="20"/>
        </w:rPr>
      </w:pPr>
      <w:bookmarkStart w:id="6" w:name="_Hlk50992304"/>
      <w:r w:rsidRPr="000A3759">
        <w:rPr>
          <w:sz w:val="20"/>
          <w:szCs w:val="20"/>
        </w:rPr>
        <w:t>Do you agree the proposed Regional Reliability Standard was developed in a fair and open process, using the associated Regional Reliability Standards Development Procedure?</w:t>
      </w:r>
    </w:p>
    <w:p w14:paraId="5E41E958" w14:textId="77777777" w:rsidR="00D8761C" w:rsidRPr="000A3759" w:rsidRDefault="00D8761C" w:rsidP="00D8761C">
      <w:pPr>
        <w:pStyle w:val="ListParagraph"/>
        <w:numPr>
          <w:ilvl w:val="0"/>
          <w:numId w:val="45"/>
        </w:numPr>
        <w:rPr>
          <w:sz w:val="20"/>
          <w:szCs w:val="20"/>
        </w:rPr>
      </w:pPr>
      <w:r w:rsidRPr="000A3759">
        <w:rPr>
          <w:sz w:val="20"/>
          <w:szCs w:val="20"/>
        </w:rPr>
        <w:t>Does the proposed Regional Reliability Standard pose an adverse impact to reliability or commerce in a neighboring region or interconnection?</w:t>
      </w:r>
    </w:p>
    <w:p w14:paraId="21A1BF98" w14:textId="77777777" w:rsidR="00D8761C" w:rsidRPr="000A3759" w:rsidRDefault="00D8761C" w:rsidP="00D8761C">
      <w:pPr>
        <w:pStyle w:val="ListParagraph"/>
        <w:numPr>
          <w:ilvl w:val="0"/>
          <w:numId w:val="45"/>
        </w:numPr>
        <w:rPr>
          <w:sz w:val="20"/>
          <w:szCs w:val="20"/>
        </w:rPr>
      </w:pPr>
      <w:r w:rsidRPr="000A3759">
        <w:rPr>
          <w:sz w:val="20"/>
          <w:szCs w:val="20"/>
        </w:rPr>
        <w:t>Does the proposed Regional Reliability Standard pose a serious and substantial threat to public health, safety, welfare, or national security</w:t>
      </w:r>
      <w:r>
        <w:rPr>
          <w:sz w:val="20"/>
          <w:szCs w:val="20"/>
        </w:rPr>
        <w:t>?</w:t>
      </w:r>
    </w:p>
    <w:p w14:paraId="553FEFE7" w14:textId="77777777" w:rsidR="00D8761C" w:rsidRPr="000A3759" w:rsidRDefault="00D8761C" w:rsidP="00D8761C">
      <w:pPr>
        <w:pStyle w:val="ListParagraph"/>
        <w:numPr>
          <w:ilvl w:val="0"/>
          <w:numId w:val="45"/>
        </w:numPr>
        <w:rPr>
          <w:sz w:val="20"/>
          <w:szCs w:val="20"/>
        </w:rPr>
      </w:pPr>
      <w:r w:rsidRPr="000A3759">
        <w:rPr>
          <w:sz w:val="20"/>
          <w:szCs w:val="20"/>
        </w:rPr>
        <w:t>Does the proposed Regional Reliability Standard pose a serious and substantial burden on competitive markets within the interconnection that is not necessary for reliability?</w:t>
      </w:r>
    </w:p>
    <w:p w14:paraId="10E347EA" w14:textId="77777777" w:rsidR="00D8761C" w:rsidRPr="000A3759" w:rsidRDefault="00D8761C" w:rsidP="00D8761C">
      <w:pPr>
        <w:pStyle w:val="ListParagraph"/>
        <w:numPr>
          <w:ilvl w:val="0"/>
          <w:numId w:val="45"/>
        </w:numPr>
        <w:rPr>
          <w:sz w:val="20"/>
          <w:szCs w:val="20"/>
        </w:rPr>
      </w:pPr>
      <w:r w:rsidRPr="000A3759">
        <w:rPr>
          <w:sz w:val="20"/>
          <w:szCs w:val="20"/>
        </w:rPr>
        <w:t>Does the proposed Regional Reliability Standard meet at least one of the following criteria?</w:t>
      </w:r>
    </w:p>
    <w:p w14:paraId="7A4A8B0F" w14:textId="77777777" w:rsidR="00D8761C" w:rsidRPr="000A3759" w:rsidRDefault="00D8761C" w:rsidP="00D8761C">
      <w:pPr>
        <w:pStyle w:val="ListParagraph"/>
        <w:numPr>
          <w:ilvl w:val="1"/>
          <w:numId w:val="45"/>
        </w:numPr>
        <w:rPr>
          <w:sz w:val="20"/>
          <w:szCs w:val="20"/>
        </w:rPr>
      </w:pPr>
      <w:r w:rsidRPr="000A3759">
        <w:rPr>
          <w:sz w:val="20"/>
          <w:szCs w:val="20"/>
        </w:rPr>
        <w:t>The proposed Regional Reliability Standard has more specific criteria for the same requirements covered in a continent-wide standard.</w:t>
      </w:r>
    </w:p>
    <w:p w14:paraId="18C5C15A" w14:textId="77777777" w:rsidR="00D8761C" w:rsidRPr="000A3759" w:rsidRDefault="00D8761C" w:rsidP="00D8761C">
      <w:pPr>
        <w:pStyle w:val="ListParagraph"/>
        <w:numPr>
          <w:ilvl w:val="1"/>
          <w:numId w:val="45"/>
        </w:numPr>
        <w:rPr>
          <w:sz w:val="20"/>
          <w:szCs w:val="20"/>
        </w:rPr>
      </w:pPr>
      <w:r w:rsidRPr="000A3759">
        <w:rPr>
          <w:sz w:val="20"/>
          <w:szCs w:val="20"/>
        </w:rPr>
        <w:t>The proposed Regional Reliability Standard has requirements that are not included in the corresponding continent-wide standard.</w:t>
      </w:r>
    </w:p>
    <w:p w14:paraId="759759C2" w14:textId="77777777" w:rsidR="00D8761C" w:rsidRDefault="00D8761C" w:rsidP="00D8761C">
      <w:pPr>
        <w:pStyle w:val="ListParagraph"/>
        <w:numPr>
          <w:ilvl w:val="1"/>
          <w:numId w:val="45"/>
        </w:numPr>
        <w:rPr>
          <w:sz w:val="20"/>
          <w:szCs w:val="20"/>
        </w:rPr>
      </w:pPr>
      <w:r w:rsidRPr="000A3759">
        <w:rPr>
          <w:sz w:val="20"/>
          <w:szCs w:val="20"/>
        </w:rPr>
        <w:t>The proposed regional difference is necessitated by a physical difference in the Bulk Power System.</w:t>
      </w:r>
    </w:p>
    <w:p w14:paraId="4A5B4CEE" w14:textId="77777777" w:rsidR="00D8761C" w:rsidRDefault="00D8761C" w:rsidP="00D8761C">
      <w:pPr>
        <w:rPr>
          <w:sz w:val="20"/>
          <w:szCs w:val="20"/>
        </w:rPr>
      </w:pPr>
      <w:r>
        <w:rPr>
          <w:sz w:val="20"/>
          <w:szCs w:val="20"/>
        </w:rPr>
        <w:br w:type="page"/>
      </w:r>
    </w:p>
    <w:p w14:paraId="2BA31E34" w14:textId="77777777" w:rsidR="00D8761C" w:rsidRPr="00684880" w:rsidRDefault="00D8761C" w:rsidP="00D8761C">
      <w:pPr>
        <w:rPr>
          <w:sz w:val="20"/>
          <w:szCs w:val="20"/>
        </w:rPr>
      </w:pPr>
    </w:p>
    <w:tbl>
      <w:tblPr>
        <w:tblStyle w:val="WECCTableStyle"/>
        <w:tblW w:w="0" w:type="auto"/>
        <w:tblLook w:val="04A0" w:firstRow="1" w:lastRow="0" w:firstColumn="1" w:lastColumn="0" w:noHBand="0" w:noVBand="1"/>
      </w:tblPr>
      <w:tblGrid>
        <w:gridCol w:w="10070"/>
      </w:tblGrid>
      <w:tr w:rsidR="00D8761C" w:rsidRPr="00D8761C" w14:paraId="11091A3B"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shd w:val="clear" w:color="auto" w:fill="auto"/>
            <w:tcMar>
              <w:top w:w="43" w:type="dxa"/>
              <w:left w:w="115" w:type="dxa"/>
              <w:bottom w:w="43" w:type="dxa"/>
              <w:right w:w="115" w:type="dxa"/>
            </w:tcMar>
          </w:tcPr>
          <w:p w14:paraId="4039F573" w14:textId="77777777" w:rsidR="00D8761C" w:rsidRDefault="00D8761C" w:rsidP="00610493">
            <w:pPr>
              <w:rPr>
                <w:rFonts w:asciiTheme="majorHAnsi" w:hAnsiTheme="majorHAnsi"/>
                <w:b w:val="0"/>
                <w:bCs w:val="0"/>
                <w:szCs w:val="20"/>
              </w:rPr>
            </w:pPr>
            <w:bookmarkStart w:id="7" w:name="_Hlk50992461"/>
            <w:bookmarkEnd w:id="6"/>
            <w:r w:rsidRPr="00D8761C">
              <w:rPr>
                <w:rFonts w:asciiTheme="majorHAnsi" w:hAnsiTheme="majorHAnsi"/>
                <w:color w:val="auto"/>
                <w:szCs w:val="20"/>
              </w:rPr>
              <w:t xml:space="preserve">Comment Summary. </w:t>
            </w:r>
          </w:p>
          <w:p w14:paraId="2BCA7F44" w14:textId="724445E2" w:rsidR="00D8761C" w:rsidRPr="00D8761C" w:rsidRDefault="00D8761C" w:rsidP="00610493">
            <w:pPr>
              <w:rPr>
                <w:rFonts w:asciiTheme="majorHAnsi" w:hAnsiTheme="majorHAnsi"/>
                <w:b w:val="0"/>
                <w:bCs w:val="0"/>
                <w:color w:val="auto"/>
                <w:szCs w:val="20"/>
              </w:rPr>
            </w:pPr>
            <w:r w:rsidRPr="00D8761C">
              <w:rPr>
                <w:rFonts w:asciiTheme="majorHAnsi" w:hAnsiTheme="majorHAnsi"/>
                <w:color w:val="auto"/>
                <w:szCs w:val="20"/>
              </w:rPr>
              <w:t xml:space="preserve">For proposed changes and avenues forward, please see the summary above. </w:t>
            </w:r>
          </w:p>
          <w:p w14:paraId="12812D65" w14:textId="77777777" w:rsidR="00D8761C" w:rsidRPr="00D8761C" w:rsidRDefault="00D8761C" w:rsidP="00610493">
            <w:pPr>
              <w:rPr>
                <w:rFonts w:asciiTheme="majorHAnsi" w:hAnsiTheme="majorHAnsi"/>
                <w:b w:val="0"/>
                <w:bCs w:val="0"/>
                <w:i/>
                <w:color w:val="auto"/>
                <w:szCs w:val="20"/>
              </w:rPr>
            </w:pPr>
          </w:p>
          <w:p w14:paraId="00B73F6E" w14:textId="77777777" w:rsidR="00D8761C" w:rsidRPr="00D8761C" w:rsidRDefault="00D8761C" w:rsidP="00610493">
            <w:pPr>
              <w:rPr>
                <w:color w:val="auto"/>
                <w:szCs w:val="20"/>
              </w:rPr>
            </w:pPr>
            <w:r w:rsidRPr="00D8761C">
              <w:rPr>
                <w:rFonts w:asciiTheme="majorHAnsi" w:hAnsiTheme="majorHAnsi"/>
                <w:i/>
                <w:color w:val="auto"/>
                <w:szCs w:val="20"/>
              </w:rPr>
              <w:t xml:space="preserve">Question 1 - </w:t>
            </w:r>
            <w:r w:rsidRPr="00D8761C">
              <w:rPr>
                <w:rFonts w:asciiTheme="majorHAnsi" w:hAnsiTheme="majorHAnsi"/>
                <w:color w:val="auto"/>
                <w:szCs w:val="20"/>
              </w:rPr>
              <w:t>Do you agree the proposed Regional Reliability Standard was developed in a fair and open process, using the associated Regional Reliability Standards Development Procedure?</w:t>
            </w:r>
          </w:p>
        </w:tc>
      </w:tr>
    </w:tbl>
    <w:tbl>
      <w:tblPr>
        <w:tblStyle w:val="WECCTable"/>
        <w:tblW w:w="10075" w:type="dxa"/>
        <w:tblLook w:val="04A0" w:firstRow="1" w:lastRow="0" w:firstColumn="1" w:lastColumn="0" w:noHBand="0" w:noVBand="1"/>
      </w:tblPr>
      <w:tblGrid>
        <w:gridCol w:w="4045"/>
        <w:gridCol w:w="6030"/>
      </w:tblGrid>
      <w:tr w:rsidR="00D8761C" w14:paraId="6DCD8A88" w14:textId="77777777" w:rsidTr="00D8761C">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193FD90B" w14:textId="77777777" w:rsidR="00D8761C" w:rsidRDefault="00D8761C" w:rsidP="00610493">
            <w:bookmarkStart w:id="8" w:name="_Hlk140235672"/>
            <w:r>
              <w:t>Commenter</w:t>
            </w:r>
          </w:p>
        </w:tc>
        <w:tc>
          <w:tcPr>
            <w:tcW w:w="6030" w:type="dxa"/>
          </w:tcPr>
          <w:p w14:paraId="41762DF3" w14:textId="3FB2EDF5"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
        <w:tblW w:w="0" w:type="auto"/>
        <w:tblLook w:val="04A0" w:firstRow="1" w:lastRow="0" w:firstColumn="1" w:lastColumn="0" w:noHBand="0" w:noVBand="1"/>
      </w:tblPr>
      <w:tblGrid>
        <w:gridCol w:w="4045"/>
        <w:gridCol w:w="6025"/>
      </w:tblGrid>
      <w:tr w:rsidR="00D8761C" w:rsidRPr="00D8761C" w14:paraId="02C00864"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05B768BB" w14:textId="1741C57B" w:rsidR="00D8761C" w:rsidRPr="00D8761C" w:rsidRDefault="00D8761C" w:rsidP="00610493">
            <w:pPr>
              <w:rPr>
                <w:b w:val="0"/>
                <w:bCs w:val="0"/>
                <w:color w:val="auto"/>
                <w:szCs w:val="20"/>
              </w:rPr>
            </w:pPr>
            <w:bookmarkStart w:id="9" w:name="_Hlk98945553"/>
            <w:bookmarkStart w:id="10" w:name="_Hlk71539836"/>
            <w:bookmarkEnd w:id="8"/>
            <w:r w:rsidRPr="00D8761C">
              <w:rPr>
                <w:b w:val="0"/>
                <w:bCs w:val="0"/>
                <w:color w:val="auto"/>
                <w:szCs w:val="20"/>
              </w:rPr>
              <w:t>All respondents except S</w:t>
            </w:r>
            <w:r>
              <w:rPr>
                <w:b w:val="0"/>
                <w:bCs w:val="0"/>
                <w:color w:val="auto"/>
                <w:szCs w:val="20"/>
              </w:rPr>
              <w:t>C</w:t>
            </w:r>
            <w:r w:rsidRPr="00D8761C">
              <w:rPr>
                <w:b w:val="0"/>
                <w:bCs w:val="0"/>
                <w:color w:val="auto"/>
                <w:szCs w:val="20"/>
              </w:rPr>
              <w:t xml:space="preserve">PUD. </w:t>
            </w:r>
          </w:p>
        </w:tc>
        <w:tc>
          <w:tcPr>
            <w:tcW w:w="6025" w:type="dxa"/>
            <w:tcBorders>
              <w:bottom w:val="single" w:sz="2" w:space="0" w:color="auto"/>
            </w:tcBorders>
            <w:shd w:val="clear" w:color="auto" w:fill="auto"/>
            <w:tcMar>
              <w:top w:w="43" w:type="dxa"/>
              <w:left w:w="115" w:type="dxa"/>
              <w:bottom w:w="43" w:type="dxa"/>
              <w:right w:w="115" w:type="dxa"/>
            </w:tcMar>
          </w:tcPr>
          <w:p w14:paraId="68398C16" w14:textId="77777777" w:rsidR="00D8761C" w:rsidRPr="00D8761C" w:rsidRDefault="00D8761C" w:rsidP="00610493">
            <w:pPr>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D8761C">
              <w:rPr>
                <w:b w:val="0"/>
                <w:bCs w:val="0"/>
                <w:color w:val="auto"/>
                <w:szCs w:val="20"/>
              </w:rPr>
              <w:t xml:space="preserve">All those responding to the question agreed the project was developed in a fair and open process. HQ as Generator Operator/Generator Owner at the Northeast Power Coordinating Council had no comment. </w:t>
            </w:r>
          </w:p>
        </w:tc>
      </w:tr>
    </w:tbl>
    <w:tbl>
      <w:tblPr>
        <w:tblStyle w:val="WECCTable"/>
        <w:tblW w:w="10075" w:type="dxa"/>
        <w:tblLook w:val="04A0" w:firstRow="1" w:lastRow="0" w:firstColumn="1" w:lastColumn="0" w:noHBand="0" w:noVBand="1"/>
      </w:tblPr>
      <w:tblGrid>
        <w:gridCol w:w="4045"/>
        <w:gridCol w:w="6030"/>
      </w:tblGrid>
      <w:tr w:rsidR="00D8761C" w14:paraId="4BC1E4A7"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7CECC8ED" w14:textId="164FB6C3" w:rsidR="00D8761C" w:rsidRDefault="00D8761C" w:rsidP="00610493">
            <w:bookmarkStart w:id="11" w:name="_Hlk140235780"/>
            <w:bookmarkEnd w:id="9"/>
            <w:r>
              <w:t>Response</w:t>
            </w:r>
          </w:p>
        </w:tc>
        <w:tc>
          <w:tcPr>
            <w:tcW w:w="6030" w:type="dxa"/>
          </w:tcPr>
          <w:p w14:paraId="22E524CF" w14:textId="533156B8"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
        <w:tblW w:w="0" w:type="auto"/>
        <w:tblLook w:val="04A0" w:firstRow="1" w:lastRow="0" w:firstColumn="1" w:lastColumn="0" w:noHBand="0" w:noVBand="1"/>
      </w:tblPr>
      <w:tblGrid>
        <w:gridCol w:w="10070"/>
      </w:tblGrid>
      <w:tr w:rsidR="00D8761C" w:rsidRPr="00D8761C" w14:paraId="4604BDDA"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bookmarkEnd w:id="11"/>
          <w:p w14:paraId="7BA36273" w14:textId="77777777" w:rsidR="00D8761C" w:rsidRPr="00D8761C" w:rsidRDefault="00D8761C" w:rsidP="00610493">
            <w:pPr>
              <w:rPr>
                <w:b w:val="0"/>
                <w:bCs w:val="0"/>
                <w:color w:val="0070C0"/>
                <w:szCs w:val="20"/>
              </w:rPr>
            </w:pPr>
            <w:r w:rsidRPr="00D8761C">
              <w:rPr>
                <w:b w:val="0"/>
                <w:bCs w:val="0"/>
                <w:color w:val="0070C0"/>
                <w:szCs w:val="20"/>
              </w:rPr>
              <w:t xml:space="preserve">The WECC-0141 drafting team (DT) appreciates time and talents of all those participating. </w:t>
            </w:r>
          </w:p>
        </w:tc>
      </w:tr>
    </w:tbl>
    <w:tbl>
      <w:tblPr>
        <w:tblStyle w:val="WECCTable2"/>
        <w:tblW w:w="10075" w:type="dxa"/>
        <w:tblLook w:val="04A0" w:firstRow="1" w:lastRow="0" w:firstColumn="1" w:lastColumn="0" w:noHBand="0" w:noVBand="1"/>
      </w:tblPr>
      <w:tblGrid>
        <w:gridCol w:w="4045"/>
        <w:gridCol w:w="6030"/>
      </w:tblGrid>
      <w:tr w:rsidR="00D8761C" w14:paraId="7C9BC9D0"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45375E50" w14:textId="77777777" w:rsidR="00D8761C" w:rsidRDefault="00D8761C" w:rsidP="00610493">
            <w:r>
              <w:t>Commenter</w:t>
            </w:r>
          </w:p>
        </w:tc>
        <w:tc>
          <w:tcPr>
            <w:tcW w:w="6030" w:type="dxa"/>
          </w:tcPr>
          <w:p w14:paraId="7829F4A8"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
        <w:tblW w:w="0" w:type="auto"/>
        <w:tblLook w:val="04A0" w:firstRow="1" w:lastRow="0" w:firstColumn="1" w:lastColumn="0" w:noHBand="0" w:noVBand="1"/>
      </w:tblPr>
      <w:tblGrid>
        <w:gridCol w:w="4045"/>
        <w:gridCol w:w="6025"/>
      </w:tblGrid>
      <w:tr w:rsidR="00D8761C" w:rsidRPr="00D8761C" w14:paraId="17DB6EEE"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2E3C6901" w14:textId="42E6F100" w:rsidR="00D8761C" w:rsidRPr="00D8761C" w:rsidRDefault="00D8761C" w:rsidP="00610493">
            <w:pPr>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PUD</w:t>
            </w:r>
          </w:p>
        </w:tc>
        <w:tc>
          <w:tcPr>
            <w:tcW w:w="6025" w:type="dxa"/>
            <w:tcBorders>
              <w:bottom w:val="single" w:sz="2" w:space="0" w:color="auto"/>
            </w:tcBorders>
            <w:shd w:val="clear" w:color="auto" w:fill="auto"/>
            <w:tcMar>
              <w:top w:w="43" w:type="dxa"/>
              <w:left w:w="115" w:type="dxa"/>
              <w:bottom w:w="43" w:type="dxa"/>
              <w:right w:w="115" w:type="dxa"/>
            </w:tcMar>
          </w:tcPr>
          <w:p w14:paraId="5E9511DF"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“No designation as to yes or no. Insufficient information to conclude one way or another, a comment period was provided for the proposed changes by NERC. Feedback regarding consideration of comments provided is expected.”</w:t>
            </w:r>
          </w:p>
        </w:tc>
      </w:tr>
    </w:tbl>
    <w:tbl>
      <w:tblPr>
        <w:tblStyle w:val="WECCTable"/>
        <w:tblW w:w="10075" w:type="dxa"/>
        <w:tblLook w:val="04A0" w:firstRow="1" w:lastRow="0" w:firstColumn="1" w:lastColumn="0" w:noHBand="0" w:noVBand="1"/>
      </w:tblPr>
      <w:tblGrid>
        <w:gridCol w:w="4045"/>
        <w:gridCol w:w="6030"/>
      </w:tblGrid>
      <w:tr w:rsidR="00D8761C" w14:paraId="7910AAE3"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0B0BFA5E" w14:textId="77777777" w:rsidR="00D8761C" w:rsidRDefault="00D8761C" w:rsidP="00610493">
            <w:r>
              <w:t>Response</w:t>
            </w:r>
          </w:p>
        </w:tc>
        <w:tc>
          <w:tcPr>
            <w:tcW w:w="6030" w:type="dxa"/>
          </w:tcPr>
          <w:p w14:paraId="6590A4D7"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
        <w:tblW w:w="0" w:type="auto"/>
        <w:tblLook w:val="04A0" w:firstRow="1" w:lastRow="0" w:firstColumn="1" w:lastColumn="0" w:noHBand="0" w:noVBand="1"/>
      </w:tblPr>
      <w:tblGrid>
        <w:gridCol w:w="10070"/>
      </w:tblGrid>
      <w:tr w:rsidR="00D8761C" w:rsidRPr="00D8761C" w14:paraId="0188A98B"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4C768CF3" w14:textId="008E0D30" w:rsidR="00D8761C" w:rsidRPr="00D8761C" w:rsidRDefault="00D8761C" w:rsidP="00610493">
            <w:pPr>
              <w:spacing w:after="120"/>
              <w:rPr>
                <w:b w:val="0"/>
                <w:bCs w:val="0"/>
                <w:color w:val="0070C0"/>
                <w:szCs w:val="20"/>
              </w:rPr>
            </w:pPr>
            <w:r w:rsidRPr="00D8761C">
              <w:rPr>
                <w:b w:val="0"/>
                <w:bCs w:val="0"/>
                <w:color w:val="0070C0"/>
                <w:szCs w:val="20"/>
              </w:rPr>
              <w:t xml:space="preserve">The WECC-0141 DT appreciates SCPUD’s participation in the standards development process. </w:t>
            </w:r>
          </w:p>
          <w:p w14:paraId="71EFE87A" w14:textId="77777777" w:rsidR="00D8761C" w:rsidRDefault="00D8761C" w:rsidP="00610493">
            <w:pPr>
              <w:spacing w:after="120"/>
              <w:rPr>
                <w:color w:val="0070C0"/>
                <w:szCs w:val="20"/>
              </w:rPr>
            </w:pPr>
            <w:r w:rsidRPr="00D8761C">
              <w:rPr>
                <w:b w:val="0"/>
                <w:bCs w:val="0"/>
                <w:color w:val="0070C0"/>
                <w:szCs w:val="20"/>
              </w:rPr>
              <w:t>As to NERC Q1 regarding “open and transparent” process using WECC’s Regional Reliability Standards Development Procedures (Procedures), S</w:t>
            </w:r>
            <w:r>
              <w:rPr>
                <w:b w:val="0"/>
                <w:bCs w:val="0"/>
                <w:color w:val="0070C0"/>
                <w:szCs w:val="20"/>
              </w:rPr>
              <w:t>C</w:t>
            </w:r>
            <w:r w:rsidRPr="00D8761C">
              <w:rPr>
                <w:b w:val="0"/>
                <w:bCs w:val="0"/>
                <w:color w:val="0070C0"/>
                <w:szCs w:val="20"/>
              </w:rPr>
              <w:t>PUD’s comments in NERC Q1 indicate:</w:t>
            </w:r>
          </w:p>
          <w:p w14:paraId="7B0A285B" w14:textId="38101E60" w:rsidR="00D8761C" w:rsidRPr="00D8761C" w:rsidRDefault="00D8761C" w:rsidP="00610493">
            <w:pPr>
              <w:spacing w:after="120"/>
              <w:rPr>
                <w:b w:val="0"/>
                <w:bCs w:val="0"/>
                <w:color w:val="0070C0"/>
                <w:szCs w:val="20"/>
              </w:rPr>
            </w:pPr>
            <w:r w:rsidRPr="00D8761C">
              <w:rPr>
                <w:b w:val="0"/>
                <w:bCs w:val="0"/>
                <w:color w:val="0070C0"/>
                <w:szCs w:val="20"/>
              </w:rPr>
              <w:t xml:space="preserve">1) </w:t>
            </w:r>
            <w:r>
              <w:rPr>
                <w:b w:val="0"/>
                <w:bCs w:val="0"/>
                <w:color w:val="0070C0"/>
                <w:szCs w:val="20"/>
              </w:rPr>
              <w:t>T</w:t>
            </w:r>
            <w:r w:rsidRPr="00D8761C">
              <w:rPr>
                <w:b w:val="0"/>
                <w:bCs w:val="0"/>
                <w:color w:val="0070C0"/>
                <w:szCs w:val="20"/>
              </w:rPr>
              <w:t>hey have “no designation as to yes or no” as “there is insufficient information to conclude one way or another,” and 2) S</w:t>
            </w:r>
            <w:r>
              <w:rPr>
                <w:b w:val="0"/>
                <w:bCs w:val="0"/>
                <w:color w:val="0070C0"/>
                <w:szCs w:val="20"/>
              </w:rPr>
              <w:t>C</w:t>
            </w:r>
            <w:r w:rsidRPr="00D8761C">
              <w:rPr>
                <w:b w:val="0"/>
                <w:bCs w:val="0"/>
                <w:color w:val="0070C0"/>
                <w:szCs w:val="20"/>
              </w:rPr>
              <w:t>PUD expects “feedback regarding consideration of [its] comments…”</w:t>
            </w:r>
          </w:p>
          <w:p w14:paraId="4FBB2258" w14:textId="5D6A2496" w:rsidR="00D8761C" w:rsidRPr="00D8761C" w:rsidRDefault="00D8761C" w:rsidP="00610493">
            <w:pPr>
              <w:spacing w:after="120"/>
              <w:rPr>
                <w:b w:val="0"/>
                <w:bCs w:val="0"/>
                <w:color w:val="0070C0"/>
                <w:szCs w:val="20"/>
              </w:rPr>
            </w:pPr>
            <w:r w:rsidRPr="00D8761C">
              <w:rPr>
                <w:b w:val="0"/>
                <w:bCs w:val="0"/>
                <w:color w:val="0070C0"/>
                <w:szCs w:val="20"/>
              </w:rPr>
              <w:t>S</w:t>
            </w:r>
            <w:r>
              <w:rPr>
                <w:b w:val="0"/>
                <w:bCs w:val="0"/>
                <w:color w:val="0070C0"/>
                <w:szCs w:val="20"/>
              </w:rPr>
              <w:t>C</w:t>
            </w:r>
            <w:r w:rsidRPr="00D8761C">
              <w:rPr>
                <w:b w:val="0"/>
                <w:bCs w:val="0"/>
                <w:color w:val="0070C0"/>
                <w:szCs w:val="20"/>
              </w:rPr>
              <w:t>PUD’s statement is inaccurate.</w:t>
            </w:r>
          </w:p>
          <w:p w14:paraId="59216A66" w14:textId="77777777" w:rsidR="00D8761C" w:rsidRPr="00D8761C" w:rsidRDefault="00D8761C" w:rsidP="00610493">
            <w:pPr>
              <w:spacing w:after="120"/>
              <w:rPr>
                <w:b w:val="0"/>
                <w:bCs w:val="0"/>
                <w:color w:val="0070C0"/>
                <w:szCs w:val="20"/>
              </w:rPr>
            </w:pPr>
            <w:r w:rsidRPr="00D8761C">
              <w:rPr>
                <w:b w:val="0"/>
                <w:bCs w:val="0"/>
                <w:color w:val="0070C0"/>
                <w:szCs w:val="20"/>
              </w:rPr>
              <w:t xml:space="preserve">At the threshold, NERC’s question goes to procedure—not substantive change. </w:t>
            </w:r>
          </w:p>
          <w:p w14:paraId="71FBC27D" w14:textId="483440D3" w:rsidR="00D8761C" w:rsidRPr="00D8761C" w:rsidRDefault="00D8761C" w:rsidP="00610493">
            <w:pPr>
              <w:spacing w:after="120"/>
              <w:rPr>
                <w:b w:val="0"/>
                <w:bCs w:val="0"/>
                <w:color w:val="0070C0"/>
                <w:szCs w:val="20"/>
              </w:rPr>
            </w:pPr>
            <w:r w:rsidRPr="00D8761C">
              <w:rPr>
                <w:b w:val="0"/>
                <w:bCs w:val="0"/>
                <w:color w:val="0070C0"/>
                <w:szCs w:val="20"/>
              </w:rPr>
              <w:t>During the development of this project, S</w:t>
            </w:r>
            <w:r>
              <w:rPr>
                <w:b w:val="0"/>
                <w:bCs w:val="0"/>
                <w:color w:val="0070C0"/>
                <w:szCs w:val="20"/>
              </w:rPr>
              <w:t>C</w:t>
            </w:r>
            <w:r w:rsidRPr="00D8761C">
              <w:rPr>
                <w:b w:val="0"/>
                <w:bCs w:val="0"/>
                <w:color w:val="0070C0"/>
                <w:szCs w:val="20"/>
              </w:rPr>
              <w:t>PUD was continuously included in the Standards Email Exploder (SEL) and was thereby included in all Procedural notice required for this project. S</w:t>
            </w:r>
            <w:r>
              <w:rPr>
                <w:b w:val="0"/>
                <w:bCs w:val="0"/>
                <w:color w:val="0070C0"/>
                <w:szCs w:val="20"/>
              </w:rPr>
              <w:t>C</w:t>
            </w:r>
            <w:r w:rsidRPr="00D8761C">
              <w:rPr>
                <w:b w:val="0"/>
                <w:bCs w:val="0"/>
                <w:color w:val="0070C0"/>
                <w:szCs w:val="20"/>
              </w:rPr>
              <w:t>PUD received notices including:</w:t>
            </w:r>
          </w:p>
          <w:p w14:paraId="626123C7"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Notice of publicly held drafting team meetings (12 meetings; 2 cancelled), </w:t>
            </w:r>
          </w:p>
          <w:p w14:paraId="43A67890"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Notice that a drafting team was being solicited for the project, </w:t>
            </w:r>
          </w:p>
          <w:p w14:paraId="646BFC09"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Notice of six postings for public comment, </w:t>
            </w:r>
          </w:p>
          <w:p w14:paraId="1DB0C94D"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Notice of ballot pool forming, </w:t>
            </w:r>
          </w:p>
          <w:p w14:paraId="22275542"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Notice of standards briefing, </w:t>
            </w:r>
          </w:p>
          <w:p w14:paraId="59FE86FD"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Notice of ballot, </w:t>
            </w:r>
          </w:p>
          <w:p w14:paraId="148D72BA" w14:textId="77777777" w:rsidR="00D8761C" w:rsidRPr="00D8761C" w:rsidRDefault="00D8761C" w:rsidP="00D8761C">
            <w:pPr>
              <w:pStyle w:val="ListParagraph"/>
              <w:numPr>
                <w:ilvl w:val="0"/>
                <w:numId w:val="46"/>
              </w:numPr>
              <w:spacing w:before="0" w:after="120"/>
              <w:contextualSpacing w:val="0"/>
              <w:rPr>
                <w:b w:val="0"/>
                <w:bCs w:val="0"/>
                <w:color w:val="0070C0"/>
                <w:szCs w:val="20"/>
              </w:rPr>
            </w:pPr>
            <w:r w:rsidRPr="00D8761C">
              <w:rPr>
                <w:b w:val="0"/>
                <w:bCs w:val="0"/>
                <w:color w:val="0070C0"/>
                <w:szCs w:val="20"/>
              </w:rPr>
              <w:t xml:space="preserve">Disposition/approval of the project by the WECC Standards Committee (WSC) (in the form of the WSC notices and minutes, and </w:t>
            </w:r>
          </w:p>
          <w:p w14:paraId="117702BE" w14:textId="77777777" w:rsidR="00D8761C" w:rsidRPr="00D8761C" w:rsidRDefault="00D8761C" w:rsidP="00D8761C">
            <w:pPr>
              <w:pStyle w:val="ListParagraph"/>
              <w:numPr>
                <w:ilvl w:val="0"/>
                <w:numId w:val="46"/>
              </w:numPr>
              <w:spacing w:before="0"/>
              <w:contextualSpacing w:val="0"/>
              <w:rPr>
                <w:b w:val="0"/>
                <w:bCs w:val="0"/>
                <w:color w:val="0070C0"/>
                <w:szCs w:val="20"/>
              </w:rPr>
            </w:pPr>
            <w:r w:rsidRPr="00D8761C">
              <w:rPr>
                <w:b w:val="0"/>
                <w:bCs w:val="0"/>
                <w:color w:val="0070C0"/>
                <w:szCs w:val="20"/>
              </w:rPr>
              <w:t>Notice of WECC Board of Director action (Board) (in the form of the Board notices and minutes).</w:t>
            </w:r>
          </w:p>
          <w:p w14:paraId="18074F54" w14:textId="77777777" w:rsidR="00D8761C" w:rsidRDefault="00D8761C" w:rsidP="00610493">
            <w:pPr>
              <w:spacing w:after="120"/>
              <w:rPr>
                <w:color w:val="0070C0"/>
                <w:szCs w:val="20"/>
              </w:rPr>
            </w:pPr>
          </w:p>
          <w:p w14:paraId="1DB0FD34" w14:textId="17A7B63F" w:rsidR="00D8761C" w:rsidRPr="00D8761C" w:rsidRDefault="00D8761C" w:rsidP="00610493">
            <w:pPr>
              <w:spacing w:after="120"/>
              <w:rPr>
                <w:b w:val="0"/>
                <w:bCs w:val="0"/>
                <w:color w:val="0070C0"/>
                <w:szCs w:val="20"/>
              </w:rPr>
            </w:pPr>
            <w:r w:rsidRPr="00D8761C">
              <w:rPr>
                <w:b w:val="0"/>
                <w:bCs w:val="0"/>
                <w:color w:val="0070C0"/>
                <w:szCs w:val="20"/>
              </w:rPr>
              <w:t xml:space="preserve">These WECC notices were supplemented by the single NERC notice requesting comment regarding the </w:t>
            </w:r>
            <w:r w:rsidRPr="00D8761C">
              <w:rPr>
                <w:b w:val="0"/>
                <w:bCs w:val="0"/>
                <w:i/>
                <w:iCs/>
                <w:color w:val="0070C0"/>
                <w:szCs w:val="20"/>
              </w:rPr>
              <w:t>procedural</w:t>
            </w:r>
            <w:r w:rsidRPr="00D8761C">
              <w:rPr>
                <w:b w:val="0"/>
                <w:bCs w:val="0"/>
                <w:color w:val="0070C0"/>
                <w:szCs w:val="20"/>
              </w:rPr>
              <w:t xml:space="preserve"> development of this project. </w:t>
            </w:r>
          </w:p>
          <w:p w14:paraId="29EE86FD" w14:textId="697EDFFA" w:rsidR="00D8761C" w:rsidRPr="00D8761C" w:rsidRDefault="00D8761C" w:rsidP="00610493">
            <w:pPr>
              <w:spacing w:after="120"/>
              <w:rPr>
                <w:b w:val="0"/>
                <w:bCs w:val="0"/>
                <w:color w:val="0070C0"/>
                <w:szCs w:val="20"/>
              </w:rPr>
            </w:pPr>
            <w:r w:rsidRPr="00D8761C">
              <w:rPr>
                <w:b w:val="0"/>
                <w:bCs w:val="0"/>
                <w:color w:val="0070C0"/>
                <w:szCs w:val="20"/>
              </w:rPr>
              <w:t xml:space="preserve">As such, notice and the ability to engage in </w:t>
            </w:r>
            <w:r w:rsidRPr="00D8761C">
              <w:rPr>
                <w:b w:val="0"/>
                <w:bCs w:val="0"/>
                <w:i/>
                <w:iCs/>
                <w:color w:val="0070C0"/>
                <w:szCs w:val="20"/>
              </w:rPr>
              <w:t>substantive</w:t>
            </w:r>
            <w:r w:rsidRPr="00D8761C">
              <w:rPr>
                <w:b w:val="0"/>
                <w:bCs w:val="0"/>
                <w:color w:val="0070C0"/>
                <w:szCs w:val="20"/>
              </w:rPr>
              <w:t xml:space="preserve"> comment/response was afforded to S</w:t>
            </w:r>
            <w:r>
              <w:rPr>
                <w:b w:val="0"/>
                <w:bCs w:val="0"/>
                <w:color w:val="0070C0"/>
                <w:szCs w:val="20"/>
              </w:rPr>
              <w:t>C</w:t>
            </w:r>
            <w:r w:rsidRPr="00D8761C">
              <w:rPr>
                <w:b w:val="0"/>
                <w:bCs w:val="0"/>
                <w:color w:val="0070C0"/>
                <w:szCs w:val="20"/>
              </w:rPr>
              <w:t>PUD as dictated in the Procedures; however, the record shows S</w:t>
            </w:r>
            <w:r>
              <w:rPr>
                <w:b w:val="0"/>
                <w:bCs w:val="0"/>
                <w:color w:val="0070C0"/>
                <w:szCs w:val="20"/>
              </w:rPr>
              <w:t>C</w:t>
            </w:r>
            <w:r w:rsidRPr="00D8761C">
              <w:rPr>
                <w:b w:val="0"/>
                <w:bCs w:val="0"/>
                <w:color w:val="0070C0"/>
                <w:szCs w:val="20"/>
              </w:rPr>
              <w:t>PUD did not avail itself of those processes.</w:t>
            </w:r>
          </w:p>
          <w:p w14:paraId="3EBD5C3F" w14:textId="62F105DF" w:rsidR="00D8761C" w:rsidRPr="00D8761C" w:rsidRDefault="00D8761C" w:rsidP="00610493">
            <w:pPr>
              <w:spacing w:after="120"/>
              <w:rPr>
                <w:b w:val="0"/>
                <w:bCs w:val="0"/>
                <w:color w:val="0070C0"/>
                <w:szCs w:val="20"/>
              </w:rPr>
            </w:pPr>
            <w:r w:rsidRPr="00D8761C">
              <w:rPr>
                <w:b w:val="0"/>
                <w:bCs w:val="0"/>
                <w:color w:val="0070C0"/>
                <w:szCs w:val="20"/>
              </w:rPr>
              <w:t>Finally, even though S</w:t>
            </w:r>
            <w:r>
              <w:rPr>
                <w:b w:val="0"/>
                <w:bCs w:val="0"/>
                <w:color w:val="0070C0"/>
                <w:szCs w:val="20"/>
              </w:rPr>
              <w:t>C</w:t>
            </w:r>
            <w:r w:rsidRPr="00D8761C">
              <w:rPr>
                <w:b w:val="0"/>
                <w:bCs w:val="0"/>
                <w:color w:val="0070C0"/>
                <w:szCs w:val="20"/>
              </w:rPr>
              <w:t>PUD’s comments are outside the scope of the question (was the project developed per WECC’s Procedures), the DT has duly considered all of SPUD’s concerns</w:t>
            </w:r>
            <w:r>
              <w:rPr>
                <w:b w:val="0"/>
                <w:bCs w:val="0"/>
                <w:color w:val="0070C0"/>
                <w:szCs w:val="20"/>
              </w:rPr>
              <w:t xml:space="preserve">, opting to make no further substantive changes.  </w:t>
            </w:r>
            <w:r w:rsidRPr="00D8761C">
              <w:rPr>
                <w:b w:val="0"/>
                <w:bCs w:val="0"/>
                <w:color w:val="0070C0"/>
                <w:szCs w:val="20"/>
              </w:rPr>
              <w:t xml:space="preserve"> </w:t>
            </w:r>
          </w:p>
        </w:tc>
      </w:tr>
      <w:bookmarkEnd w:id="7"/>
      <w:bookmarkEnd w:id="10"/>
    </w:tbl>
    <w:p w14:paraId="72DCE600" w14:textId="77777777" w:rsidR="00D8761C" w:rsidRDefault="00D8761C" w:rsidP="00D8761C">
      <w:r w:rsidRPr="00425207">
        <w:br w:type="page"/>
      </w:r>
    </w:p>
    <w:tbl>
      <w:tblPr>
        <w:tblStyle w:val="WECCTableStyle"/>
        <w:tblW w:w="0" w:type="auto"/>
        <w:tblLook w:val="04A0" w:firstRow="1" w:lastRow="0" w:firstColumn="1" w:lastColumn="0" w:noHBand="0" w:noVBand="1"/>
      </w:tblPr>
      <w:tblGrid>
        <w:gridCol w:w="10070"/>
      </w:tblGrid>
      <w:tr w:rsidR="00D8761C" w:rsidRPr="00D8761C" w14:paraId="19DDD4B9"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shd w:val="clear" w:color="auto" w:fill="auto"/>
            <w:tcMar>
              <w:top w:w="43" w:type="dxa"/>
              <w:left w:w="115" w:type="dxa"/>
              <w:bottom w:w="43" w:type="dxa"/>
              <w:right w:w="115" w:type="dxa"/>
            </w:tcMar>
          </w:tcPr>
          <w:p w14:paraId="4FFD87D6" w14:textId="77777777" w:rsidR="00D8761C" w:rsidRDefault="00D8761C" w:rsidP="00610493">
            <w:pPr>
              <w:rPr>
                <w:rFonts w:asciiTheme="majorHAnsi" w:hAnsiTheme="majorHAnsi"/>
                <w:b w:val="0"/>
                <w:bCs w:val="0"/>
                <w:szCs w:val="20"/>
              </w:rPr>
            </w:pPr>
            <w:r w:rsidRPr="00D8761C">
              <w:rPr>
                <w:rFonts w:asciiTheme="majorHAnsi" w:hAnsiTheme="majorHAnsi"/>
                <w:color w:val="auto"/>
                <w:szCs w:val="20"/>
              </w:rPr>
              <w:t xml:space="preserve">Comment Summary. </w:t>
            </w:r>
          </w:p>
          <w:p w14:paraId="1F708A29" w14:textId="18675A3D" w:rsidR="00D8761C" w:rsidRPr="00D8761C" w:rsidRDefault="00D8761C" w:rsidP="00610493">
            <w:pPr>
              <w:rPr>
                <w:rFonts w:asciiTheme="majorHAnsi" w:hAnsiTheme="majorHAnsi"/>
                <w:color w:val="auto"/>
                <w:szCs w:val="20"/>
              </w:rPr>
            </w:pPr>
            <w:r w:rsidRPr="00D8761C">
              <w:rPr>
                <w:rFonts w:asciiTheme="majorHAnsi" w:hAnsiTheme="majorHAnsi"/>
                <w:color w:val="auto"/>
                <w:szCs w:val="20"/>
              </w:rPr>
              <w:t xml:space="preserve">For proposed changes and avenues forward, please see the summary above. </w:t>
            </w:r>
          </w:p>
          <w:p w14:paraId="3B710529" w14:textId="77777777" w:rsidR="00D8761C" w:rsidRPr="00D8761C" w:rsidRDefault="00D8761C" w:rsidP="00610493">
            <w:pPr>
              <w:rPr>
                <w:rFonts w:asciiTheme="majorHAnsi" w:hAnsiTheme="majorHAnsi"/>
                <w:color w:val="auto"/>
                <w:szCs w:val="20"/>
              </w:rPr>
            </w:pPr>
          </w:p>
          <w:p w14:paraId="79DFCD8F" w14:textId="77777777" w:rsidR="00D8761C" w:rsidRPr="00D8761C" w:rsidRDefault="00D8761C" w:rsidP="00610493">
            <w:pPr>
              <w:rPr>
                <w:color w:val="auto"/>
                <w:szCs w:val="20"/>
              </w:rPr>
            </w:pPr>
            <w:r w:rsidRPr="00D8761C">
              <w:rPr>
                <w:rFonts w:asciiTheme="majorHAnsi" w:hAnsiTheme="majorHAnsi"/>
                <w:i/>
                <w:iCs/>
                <w:color w:val="auto"/>
                <w:szCs w:val="20"/>
              </w:rPr>
              <w:t>Question 2</w:t>
            </w:r>
            <w:r w:rsidRPr="00D8761C">
              <w:rPr>
                <w:rFonts w:asciiTheme="majorHAnsi" w:hAnsiTheme="majorHAnsi"/>
                <w:color w:val="auto"/>
                <w:szCs w:val="20"/>
              </w:rPr>
              <w:t xml:space="preserve"> - Does the proposed Regional Reliability Standard pose an adverse impact to reliability or commerce in a neighboring region or interconnection?</w:t>
            </w:r>
          </w:p>
        </w:tc>
      </w:tr>
    </w:tbl>
    <w:tbl>
      <w:tblPr>
        <w:tblStyle w:val="WECCTable"/>
        <w:tblW w:w="10075" w:type="dxa"/>
        <w:tblLook w:val="04A0" w:firstRow="1" w:lastRow="0" w:firstColumn="1" w:lastColumn="0" w:noHBand="0" w:noVBand="1"/>
      </w:tblPr>
      <w:tblGrid>
        <w:gridCol w:w="4045"/>
        <w:gridCol w:w="6030"/>
      </w:tblGrid>
      <w:tr w:rsidR="00D8761C" w14:paraId="66C29B0C"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303679A6" w14:textId="77777777" w:rsidR="00D8761C" w:rsidRDefault="00D8761C" w:rsidP="00610493">
            <w:r>
              <w:t>Commenter</w:t>
            </w:r>
          </w:p>
        </w:tc>
        <w:tc>
          <w:tcPr>
            <w:tcW w:w="6030" w:type="dxa"/>
          </w:tcPr>
          <w:p w14:paraId="34E59645"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
        <w:tblW w:w="0" w:type="auto"/>
        <w:tblLook w:val="04A0" w:firstRow="1" w:lastRow="0" w:firstColumn="1" w:lastColumn="0" w:noHBand="0" w:noVBand="1"/>
      </w:tblPr>
      <w:tblGrid>
        <w:gridCol w:w="4045"/>
        <w:gridCol w:w="6025"/>
      </w:tblGrid>
      <w:tr w:rsidR="00D8761C" w:rsidRPr="00D8761C" w14:paraId="2C06E7F7"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4B9C11F8" w14:textId="77777777" w:rsidR="00D8761C" w:rsidRPr="00D8761C" w:rsidRDefault="00D8761C" w:rsidP="00610493">
            <w:pPr>
              <w:rPr>
                <w:b w:val="0"/>
                <w:bCs w:val="0"/>
                <w:color w:val="auto"/>
                <w:szCs w:val="20"/>
              </w:rPr>
            </w:pPr>
            <w:r w:rsidRPr="00D8761C">
              <w:rPr>
                <w:b w:val="0"/>
                <w:bCs w:val="0"/>
                <w:color w:val="auto"/>
                <w:szCs w:val="20"/>
              </w:rPr>
              <w:t xml:space="preserve">All respondents except SPUD. </w:t>
            </w:r>
          </w:p>
        </w:tc>
        <w:tc>
          <w:tcPr>
            <w:tcW w:w="6025" w:type="dxa"/>
            <w:tcBorders>
              <w:bottom w:val="single" w:sz="2" w:space="0" w:color="auto"/>
            </w:tcBorders>
            <w:shd w:val="clear" w:color="auto" w:fill="auto"/>
            <w:tcMar>
              <w:top w:w="43" w:type="dxa"/>
              <w:left w:w="115" w:type="dxa"/>
              <w:bottom w:w="43" w:type="dxa"/>
              <w:right w:w="115" w:type="dxa"/>
            </w:tcMar>
          </w:tcPr>
          <w:p w14:paraId="3D6A247F" w14:textId="77777777" w:rsidR="00D8761C" w:rsidRPr="00D8761C" w:rsidRDefault="00D8761C" w:rsidP="00610493">
            <w:pPr>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D8761C">
              <w:rPr>
                <w:b w:val="0"/>
                <w:bCs w:val="0"/>
                <w:color w:val="auto"/>
                <w:szCs w:val="20"/>
              </w:rPr>
              <w:t xml:space="preserve">All those responding to the question agreed the project posed no adverse impact to reliability or commerce in a neighboring region or interconnection. HQ as Generator Operator/Generator Owner at the Northeast Power Coordinating Council had no comment. </w:t>
            </w:r>
          </w:p>
        </w:tc>
      </w:tr>
    </w:tbl>
    <w:tbl>
      <w:tblPr>
        <w:tblStyle w:val="WECCTable"/>
        <w:tblW w:w="10075" w:type="dxa"/>
        <w:tblLook w:val="04A0" w:firstRow="1" w:lastRow="0" w:firstColumn="1" w:lastColumn="0" w:noHBand="0" w:noVBand="1"/>
      </w:tblPr>
      <w:tblGrid>
        <w:gridCol w:w="4045"/>
        <w:gridCol w:w="6030"/>
      </w:tblGrid>
      <w:tr w:rsidR="00D8761C" w14:paraId="38FFB3F9"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0E258153" w14:textId="77777777" w:rsidR="00D8761C" w:rsidRDefault="00D8761C" w:rsidP="00610493">
            <w:r>
              <w:t>Response</w:t>
            </w:r>
          </w:p>
        </w:tc>
        <w:tc>
          <w:tcPr>
            <w:tcW w:w="6030" w:type="dxa"/>
          </w:tcPr>
          <w:p w14:paraId="4FDEFF94"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
        <w:tblW w:w="0" w:type="auto"/>
        <w:tblLook w:val="04A0" w:firstRow="1" w:lastRow="0" w:firstColumn="1" w:lastColumn="0" w:noHBand="0" w:noVBand="1"/>
      </w:tblPr>
      <w:tblGrid>
        <w:gridCol w:w="10070"/>
      </w:tblGrid>
      <w:tr w:rsidR="00D8761C" w:rsidRPr="00D8761C" w14:paraId="33BD63CC"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2ECAC391" w14:textId="77777777" w:rsidR="00D8761C" w:rsidRPr="00D8761C" w:rsidRDefault="00D8761C" w:rsidP="00610493">
            <w:pPr>
              <w:rPr>
                <w:b w:val="0"/>
                <w:bCs w:val="0"/>
                <w:color w:val="0070C0"/>
                <w:szCs w:val="20"/>
              </w:rPr>
            </w:pPr>
            <w:r w:rsidRPr="00D8761C">
              <w:rPr>
                <w:b w:val="0"/>
                <w:bCs w:val="0"/>
                <w:color w:val="0070C0"/>
                <w:szCs w:val="20"/>
              </w:rPr>
              <w:t xml:space="preserve">The WECC-0141 drafting team (DT) appreciates time and talents of all those participating. </w:t>
            </w:r>
          </w:p>
        </w:tc>
      </w:tr>
    </w:tbl>
    <w:tbl>
      <w:tblPr>
        <w:tblStyle w:val="WECCTable"/>
        <w:tblW w:w="10075" w:type="dxa"/>
        <w:tblLook w:val="04A0" w:firstRow="1" w:lastRow="0" w:firstColumn="1" w:lastColumn="0" w:noHBand="0" w:noVBand="1"/>
      </w:tblPr>
      <w:tblGrid>
        <w:gridCol w:w="4045"/>
        <w:gridCol w:w="6030"/>
      </w:tblGrid>
      <w:tr w:rsidR="00D8761C" w14:paraId="38CAB0F3"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6C1C1D5D" w14:textId="77777777" w:rsidR="00D8761C" w:rsidRDefault="00D8761C" w:rsidP="00610493">
            <w:r>
              <w:t>Commenter</w:t>
            </w:r>
          </w:p>
        </w:tc>
        <w:tc>
          <w:tcPr>
            <w:tcW w:w="6030" w:type="dxa"/>
          </w:tcPr>
          <w:p w14:paraId="0D9F7150"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
        <w:tblW w:w="0" w:type="auto"/>
        <w:tblLook w:val="04A0" w:firstRow="1" w:lastRow="0" w:firstColumn="1" w:lastColumn="0" w:noHBand="0" w:noVBand="1"/>
      </w:tblPr>
      <w:tblGrid>
        <w:gridCol w:w="4045"/>
        <w:gridCol w:w="6025"/>
      </w:tblGrid>
      <w:tr w:rsidR="00D8761C" w:rsidRPr="00D8761C" w14:paraId="55BAB7B6"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7C048A74" w14:textId="22EDA8AD" w:rsidR="00D8761C" w:rsidRPr="00D8761C" w:rsidRDefault="00D8761C" w:rsidP="00610493">
            <w:pPr>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PUD</w:t>
            </w:r>
          </w:p>
        </w:tc>
        <w:tc>
          <w:tcPr>
            <w:tcW w:w="6025" w:type="dxa"/>
            <w:tcBorders>
              <w:bottom w:val="single" w:sz="2" w:space="0" w:color="auto"/>
            </w:tcBorders>
            <w:shd w:val="clear" w:color="auto" w:fill="auto"/>
            <w:tcMar>
              <w:top w:w="43" w:type="dxa"/>
              <w:left w:w="115" w:type="dxa"/>
              <w:bottom w:w="43" w:type="dxa"/>
              <w:right w:w="115" w:type="dxa"/>
            </w:tcMar>
          </w:tcPr>
          <w:p w14:paraId="554082D8" w14:textId="126CA8A0"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 xml:space="preserve">PUD responded “yes” to question two. </w:t>
            </w:r>
          </w:p>
          <w:p w14:paraId="26E8784E"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7370A49A" w14:textId="77777777" w:rsid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szCs w:val="20"/>
              </w:rPr>
            </w:pPr>
            <w:r w:rsidRPr="00D8761C">
              <w:rPr>
                <w:rFonts w:asciiTheme="minorHAnsi" w:hAnsiTheme="minorHAnsi"/>
                <w:b w:val="0"/>
                <w:bCs w:val="0"/>
                <w:color w:val="auto"/>
                <w:szCs w:val="20"/>
              </w:rPr>
              <w:t>”The adverse impact to reliability and commercial operation is taking additional time away from SMEs (that could otherwise be spent on entity reliability projects), to categorize and discuss the new proposed categories in Attachment A Section 2 Maintenance.</w:t>
            </w:r>
          </w:p>
          <w:p w14:paraId="79295CE1" w14:textId="77777777" w:rsid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szCs w:val="20"/>
              </w:rPr>
            </w:pPr>
          </w:p>
          <w:p w14:paraId="3F5C0806" w14:textId="42DD133B"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I expect utilities to continue with their existing work practices. There appears to be redundant categories with the proposed two additional categories in Attachment A Section 2 Maintenance.</w:t>
            </w:r>
          </w:p>
          <w:p w14:paraId="48ACB727"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24FB3F5E"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As it applies to Section C, M3 1.2, language and specificity is very important in interpreting applicability in which to achieve the intended and desired results being set forth in FAC-501. There is potential variation in interpretation of the proposed language. I provided a suggested edit I believe provides additional clarity.”</w:t>
            </w:r>
          </w:p>
        </w:tc>
      </w:tr>
    </w:tbl>
    <w:tbl>
      <w:tblPr>
        <w:tblStyle w:val="WECCTable"/>
        <w:tblW w:w="10075" w:type="dxa"/>
        <w:tblLook w:val="04A0" w:firstRow="1" w:lastRow="0" w:firstColumn="1" w:lastColumn="0" w:noHBand="0" w:noVBand="1"/>
      </w:tblPr>
      <w:tblGrid>
        <w:gridCol w:w="4045"/>
        <w:gridCol w:w="6030"/>
      </w:tblGrid>
      <w:tr w:rsidR="00D8761C" w14:paraId="61C0F869"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78D9022A" w14:textId="77777777" w:rsidR="00D8761C" w:rsidRDefault="00D8761C" w:rsidP="00610493">
            <w:bookmarkStart w:id="12" w:name="_Hlk140236439"/>
            <w:r>
              <w:t>Response</w:t>
            </w:r>
          </w:p>
        </w:tc>
        <w:tc>
          <w:tcPr>
            <w:tcW w:w="6030" w:type="dxa"/>
          </w:tcPr>
          <w:p w14:paraId="3834EEFC"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
        <w:tblW w:w="0" w:type="auto"/>
        <w:tblLook w:val="04A0" w:firstRow="1" w:lastRow="0" w:firstColumn="1" w:lastColumn="0" w:noHBand="0" w:noVBand="1"/>
      </w:tblPr>
      <w:tblGrid>
        <w:gridCol w:w="10070"/>
      </w:tblGrid>
      <w:tr w:rsidR="00D8761C" w:rsidRPr="0099545A" w14:paraId="10185D2D"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bookmarkEnd w:id="12"/>
          <w:p w14:paraId="09ADF8D0" w14:textId="4306BD32" w:rsidR="00D8761C" w:rsidRPr="0057168A" w:rsidRDefault="00D8761C" w:rsidP="00610493">
            <w:pPr>
              <w:spacing w:after="120"/>
              <w:rPr>
                <w:color w:val="0070C0"/>
                <w:szCs w:val="20"/>
              </w:rPr>
            </w:pPr>
            <w:r w:rsidRPr="0057168A">
              <w:rPr>
                <w:color w:val="0070C0"/>
                <w:szCs w:val="20"/>
              </w:rPr>
              <w:t>S</w:t>
            </w:r>
            <w:r>
              <w:rPr>
                <w:color w:val="0070C0"/>
                <w:szCs w:val="20"/>
              </w:rPr>
              <w:t>C</w:t>
            </w:r>
            <w:r w:rsidRPr="0057168A">
              <w:rPr>
                <w:color w:val="0070C0"/>
                <w:szCs w:val="20"/>
              </w:rPr>
              <w:t>PUD misses the call of the question.</w:t>
            </w:r>
          </w:p>
          <w:p w14:paraId="722EFFCD" w14:textId="7494F3F6" w:rsidR="00D8761C" w:rsidRPr="0057168A" w:rsidRDefault="00D8761C" w:rsidP="00610493">
            <w:pPr>
              <w:spacing w:after="120"/>
              <w:rPr>
                <w:color w:val="0070C0"/>
                <w:szCs w:val="20"/>
              </w:rPr>
            </w:pPr>
            <w:r w:rsidRPr="0057168A">
              <w:rPr>
                <w:color w:val="0070C0"/>
                <w:szCs w:val="20"/>
              </w:rPr>
              <w:t>NERC Q2 is dedicated to understanding the impact of the proposed standard on “neighboring region[s] or interconnection[s]</w:t>
            </w:r>
            <w:r>
              <w:rPr>
                <w:color w:val="0070C0"/>
                <w:szCs w:val="20"/>
              </w:rPr>
              <w:t>.</w:t>
            </w:r>
            <w:r w:rsidRPr="0057168A">
              <w:rPr>
                <w:color w:val="0070C0"/>
                <w:szCs w:val="20"/>
              </w:rPr>
              <w:t>” (Emphasis added.) Because this is a Regional Reliability Standard, it imposes no burden on neighboring interconnections/regions. As to S</w:t>
            </w:r>
            <w:r>
              <w:rPr>
                <w:color w:val="0070C0"/>
                <w:szCs w:val="20"/>
              </w:rPr>
              <w:t>C</w:t>
            </w:r>
            <w:r w:rsidRPr="0057168A">
              <w:rPr>
                <w:color w:val="0070C0"/>
                <w:szCs w:val="20"/>
              </w:rPr>
              <w:t>PUD’s concern regarding burden, please see below.</w:t>
            </w:r>
          </w:p>
        </w:tc>
      </w:tr>
    </w:tbl>
    <w:p w14:paraId="11BB4B03" w14:textId="77777777" w:rsidR="00D8761C" w:rsidRDefault="00D8761C" w:rsidP="00D8761C">
      <w:pPr>
        <w:rPr>
          <w:sz w:val="20"/>
          <w:szCs w:val="20"/>
        </w:rPr>
      </w:pPr>
    </w:p>
    <w:p w14:paraId="59396663" w14:textId="77777777" w:rsidR="00D8761C" w:rsidRDefault="00D8761C" w:rsidP="00D8761C">
      <w:pPr>
        <w:rPr>
          <w:sz w:val="20"/>
          <w:szCs w:val="20"/>
        </w:rPr>
      </w:pPr>
      <w:r>
        <w:rPr>
          <w:sz w:val="20"/>
          <w:szCs w:val="20"/>
        </w:rPr>
        <w:br w:type="page"/>
      </w:r>
    </w:p>
    <w:tbl>
      <w:tblPr>
        <w:tblStyle w:val="WECCTableStyle"/>
        <w:tblW w:w="0" w:type="auto"/>
        <w:tblLook w:val="04A0" w:firstRow="1" w:lastRow="0" w:firstColumn="1" w:lastColumn="0" w:noHBand="0" w:noVBand="1"/>
      </w:tblPr>
      <w:tblGrid>
        <w:gridCol w:w="10070"/>
      </w:tblGrid>
      <w:tr w:rsidR="00D8761C" w:rsidRPr="00D8761C" w14:paraId="6B96D222"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shd w:val="clear" w:color="auto" w:fill="auto"/>
            <w:tcMar>
              <w:top w:w="43" w:type="dxa"/>
              <w:left w:w="115" w:type="dxa"/>
              <w:bottom w:w="43" w:type="dxa"/>
              <w:right w:w="115" w:type="dxa"/>
            </w:tcMar>
          </w:tcPr>
          <w:p w14:paraId="0A19DBEE" w14:textId="77777777" w:rsidR="00D8761C" w:rsidRPr="00D8761C" w:rsidRDefault="00D8761C" w:rsidP="00610493">
            <w:pPr>
              <w:rPr>
                <w:rFonts w:asciiTheme="majorHAnsi" w:hAnsiTheme="majorHAnsi"/>
                <w:color w:val="auto"/>
                <w:szCs w:val="20"/>
              </w:rPr>
            </w:pPr>
            <w:bookmarkStart w:id="13" w:name="_Hlk98946257"/>
            <w:r w:rsidRPr="00D8761C">
              <w:rPr>
                <w:rFonts w:asciiTheme="majorHAnsi" w:hAnsiTheme="majorHAnsi"/>
                <w:color w:val="auto"/>
                <w:szCs w:val="20"/>
              </w:rPr>
              <w:t xml:space="preserve">Comment Summary. For proposed changes and avenues forward, please see the summary above. </w:t>
            </w:r>
          </w:p>
          <w:p w14:paraId="1D16E585" w14:textId="77777777" w:rsidR="00D8761C" w:rsidRPr="00D8761C" w:rsidRDefault="00D8761C" w:rsidP="00610493">
            <w:pPr>
              <w:rPr>
                <w:rFonts w:asciiTheme="majorHAnsi" w:hAnsiTheme="majorHAnsi"/>
                <w:color w:val="auto"/>
                <w:szCs w:val="20"/>
              </w:rPr>
            </w:pPr>
          </w:p>
          <w:p w14:paraId="126FF1AA" w14:textId="77777777" w:rsidR="00D8761C" w:rsidRPr="00D8761C" w:rsidRDefault="00D8761C" w:rsidP="00610493">
            <w:pPr>
              <w:rPr>
                <w:color w:val="auto"/>
                <w:szCs w:val="20"/>
              </w:rPr>
            </w:pPr>
            <w:r w:rsidRPr="00D8761C">
              <w:rPr>
                <w:rFonts w:asciiTheme="majorHAnsi" w:hAnsiTheme="majorHAnsi"/>
                <w:i/>
                <w:iCs/>
                <w:color w:val="auto"/>
                <w:szCs w:val="20"/>
              </w:rPr>
              <w:t>Question 3</w:t>
            </w:r>
            <w:r w:rsidRPr="00D8761C">
              <w:rPr>
                <w:rFonts w:asciiTheme="majorHAnsi" w:hAnsiTheme="majorHAnsi"/>
                <w:color w:val="auto"/>
                <w:szCs w:val="20"/>
              </w:rPr>
              <w:t xml:space="preserve"> - Does the proposed Regional Reliability Standard pose a serious and substantial threat to public health, safety, welfare, or national security?</w:t>
            </w:r>
          </w:p>
        </w:tc>
      </w:tr>
    </w:tbl>
    <w:tbl>
      <w:tblPr>
        <w:tblStyle w:val="WECCTable"/>
        <w:tblW w:w="10075" w:type="dxa"/>
        <w:tblLook w:val="04A0" w:firstRow="1" w:lastRow="0" w:firstColumn="1" w:lastColumn="0" w:noHBand="0" w:noVBand="1"/>
      </w:tblPr>
      <w:tblGrid>
        <w:gridCol w:w="4045"/>
        <w:gridCol w:w="6030"/>
      </w:tblGrid>
      <w:tr w:rsidR="00D8761C" w14:paraId="489B5678"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78AF254E" w14:textId="77777777" w:rsidR="00D8761C" w:rsidRDefault="00D8761C" w:rsidP="00610493">
            <w:r>
              <w:t>Commenter</w:t>
            </w:r>
          </w:p>
        </w:tc>
        <w:tc>
          <w:tcPr>
            <w:tcW w:w="6030" w:type="dxa"/>
          </w:tcPr>
          <w:p w14:paraId="72372535"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
        <w:tblW w:w="0" w:type="auto"/>
        <w:tblLook w:val="04A0" w:firstRow="1" w:lastRow="0" w:firstColumn="1" w:lastColumn="0" w:noHBand="0" w:noVBand="1"/>
      </w:tblPr>
      <w:tblGrid>
        <w:gridCol w:w="4045"/>
        <w:gridCol w:w="6025"/>
      </w:tblGrid>
      <w:tr w:rsidR="00D8761C" w:rsidRPr="00D8761C" w14:paraId="1B8440C0"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51834648" w14:textId="0A5108F2" w:rsidR="00D8761C" w:rsidRPr="00D8761C" w:rsidRDefault="00D8761C" w:rsidP="00610493">
            <w:pPr>
              <w:rPr>
                <w:b w:val="0"/>
                <w:bCs w:val="0"/>
                <w:color w:val="auto"/>
                <w:szCs w:val="20"/>
              </w:rPr>
            </w:pPr>
            <w:r w:rsidRPr="00D8761C">
              <w:rPr>
                <w:b w:val="0"/>
                <w:bCs w:val="0"/>
                <w:color w:val="auto"/>
                <w:szCs w:val="20"/>
              </w:rPr>
              <w:t>All respondents except S</w:t>
            </w:r>
            <w:r>
              <w:rPr>
                <w:b w:val="0"/>
                <w:bCs w:val="0"/>
                <w:color w:val="auto"/>
                <w:szCs w:val="20"/>
              </w:rPr>
              <w:t>C</w:t>
            </w:r>
            <w:r w:rsidRPr="00D8761C">
              <w:rPr>
                <w:b w:val="0"/>
                <w:bCs w:val="0"/>
                <w:color w:val="auto"/>
                <w:szCs w:val="20"/>
              </w:rPr>
              <w:t xml:space="preserve">PUD. </w:t>
            </w:r>
          </w:p>
        </w:tc>
        <w:tc>
          <w:tcPr>
            <w:tcW w:w="6025" w:type="dxa"/>
            <w:tcBorders>
              <w:bottom w:val="single" w:sz="2" w:space="0" w:color="auto"/>
            </w:tcBorders>
            <w:shd w:val="clear" w:color="auto" w:fill="auto"/>
            <w:tcMar>
              <w:top w:w="43" w:type="dxa"/>
              <w:left w:w="115" w:type="dxa"/>
              <w:bottom w:w="43" w:type="dxa"/>
              <w:right w:w="115" w:type="dxa"/>
            </w:tcMar>
          </w:tcPr>
          <w:p w14:paraId="342C1DE9" w14:textId="77777777" w:rsidR="00D8761C" w:rsidRPr="00D8761C" w:rsidRDefault="00D8761C" w:rsidP="00610493">
            <w:pPr>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D8761C">
              <w:rPr>
                <w:b w:val="0"/>
                <w:bCs w:val="0"/>
                <w:color w:val="auto"/>
                <w:szCs w:val="20"/>
              </w:rPr>
              <w:t>All those responding to the question agreed the project posed no serious and substantial threat to public health, safety, welfare, or national security. HQ as Generator Operator/Generator Owner at the Northeast Power Coordinating Council had no comment.</w:t>
            </w:r>
          </w:p>
        </w:tc>
      </w:tr>
    </w:tbl>
    <w:tbl>
      <w:tblPr>
        <w:tblStyle w:val="WECCTable"/>
        <w:tblW w:w="10075" w:type="dxa"/>
        <w:tblLook w:val="04A0" w:firstRow="1" w:lastRow="0" w:firstColumn="1" w:lastColumn="0" w:noHBand="0" w:noVBand="1"/>
      </w:tblPr>
      <w:tblGrid>
        <w:gridCol w:w="4045"/>
        <w:gridCol w:w="6030"/>
      </w:tblGrid>
      <w:tr w:rsidR="00D8761C" w14:paraId="66B9151C"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2079BD8E" w14:textId="77777777" w:rsidR="00D8761C" w:rsidRDefault="00D8761C" w:rsidP="00610493">
            <w:bookmarkStart w:id="14" w:name="_Hlk140236507"/>
            <w:r>
              <w:t>Response</w:t>
            </w:r>
          </w:p>
        </w:tc>
        <w:tc>
          <w:tcPr>
            <w:tcW w:w="6030" w:type="dxa"/>
          </w:tcPr>
          <w:p w14:paraId="7969B105"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
        <w:tblW w:w="0" w:type="auto"/>
        <w:tblLook w:val="04A0" w:firstRow="1" w:lastRow="0" w:firstColumn="1" w:lastColumn="0" w:noHBand="0" w:noVBand="1"/>
      </w:tblPr>
      <w:tblGrid>
        <w:gridCol w:w="10070"/>
      </w:tblGrid>
      <w:tr w:rsidR="00D8761C" w:rsidRPr="00D45B42" w14:paraId="79357033"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bookmarkEnd w:id="14"/>
          <w:p w14:paraId="38D25C8D" w14:textId="77777777" w:rsidR="00D8761C" w:rsidRPr="0057168A" w:rsidRDefault="00D8761C" w:rsidP="00610493">
            <w:pPr>
              <w:rPr>
                <w:color w:val="0070C0"/>
                <w:szCs w:val="20"/>
              </w:rPr>
            </w:pPr>
            <w:r w:rsidRPr="0057168A">
              <w:rPr>
                <w:color w:val="0070C0"/>
                <w:szCs w:val="20"/>
              </w:rPr>
              <w:t xml:space="preserve">The WECC-0141 drafting team (DT) appreciates time and talents of all those participating. </w:t>
            </w:r>
          </w:p>
        </w:tc>
      </w:tr>
    </w:tbl>
    <w:tbl>
      <w:tblPr>
        <w:tblStyle w:val="WECCTable"/>
        <w:tblW w:w="10075" w:type="dxa"/>
        <w:tblLook w:val="04A0" w:firstRow="1" w:lastRow="0" w:firstColumn="1" w:lastColumn="0" w:noHBand="0" w:noVBand="1"/>
      </w:tblPr>
      <w:tblGrid>
        <w:gridCol w:w="4045"/>
        <w:gridCol w:w="6030"/>
      </w:tblGrid>
      <w:tr w:rsidR="00D8761C" w14:paraId="4BB27861"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61D0ED1A" w14:textId="77777777" w:rsidR="00D8761C" w:rsidRDefault="00D8761C" w:rsidP="00610493">
            <w:bookmarkStart w:id="15" w:name="_Hlk140237412"/>
            <w:r>
              <w:t>Commenter</w:t>
            </w:r>
          </w:p>
        </w:tc>
        <w:tc>
          <w:tcPr>
            <w:tcW w:w="6030" w:type="dxa"/>
          </w:tcPr>
          <w:p w14:paraId="2724D956"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
        <w:tblW w:w="0" w:type="auto"/>
        <w:tblLook w:val="04A0" w:firstRow="1" w:lastRow="0" w:firstColumn="1" w:lastColumn="0" w:noHBand="0" w:noVBand="1"/>
      </w:tblPr>
      <w:tblGrid>
        <w:gridCol w:w="4045"/>
        <w:gridCol w:w="6025"/>
      </w:tblGrid>
      <w:tr w:rsidR="00D8761C" w:rsidRPr="00D8761C" w14:paraId="186B98D3"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bookmarkEnd w:id="15"/>
          <w:p w14:paraId="240B85C8" w14:textId="656BBC98" w:rsidR="00D8761C" w:rsidRPr="00D8761C" w:rsidRDefault="00D8761C" w:rsidP="00610493">
            <w:pPr>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PUD</w:t>
            </w:r>
          </w:p>
        </w:tc>
        <w:tc>
          <w:tcPr>
            <w:tcW w:w="6025" w:type="dxa"/>
            <w:tcBorders>
              <w:bottom w:val="single" w:sz="2" w:space="0" w:color="auto"/>
            </w:tcBorders>
            <w:shd w:val="clear" w:color="auto" w:fill="auto"/>
            <w:tcMar>
              <w:top w:w="43" w:type="dxa"/>
              <w:left w:w="115" w:type="dxa"/>
              <w:bottom w:w="43" w:type="dxa"/>
              <w:right w:w="115" w:type="dxa"/>
            </w:tcMar>
          </w:tcPr>
          <w:p w14:paraId="69180167" w14:textId="712F02DC"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 xml:space="preserve">PUD responded “no” to question 3; but, added the following. </w:t>
            </w:r>
          </w:p>
          <w:p w14:paraId="58FAABA7"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2397FA57"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“No. However, one could argue the reduction in time spent addressing reliability issues, increases the probability for a non-desired event occurring on the BES. Compliance and reliability are not the same thing. Compliance in an internal control mechanism to document business decisions and work practices to give EROs, NERC, and FERC assurance the utility is following good work practices to prevent and/or limit impacts that occur due to an event on the BES.”</w:t>
            </w:r>
          </w:p>
        </w:tc>
      </w:tr>
    </w:tbl>
    <w:tbl>
      <w:tblPr>
        <w:tblStyle w:val="WECCTable"/>
        <w:tblW w:w="10075" w:type="dxa"/>
        <w:tblLook w:val="04A0" w:firstRow="1" w:lastRow="0" w:firstColumn="1" w:lastColumn="0" w:noHBand="0" w:noVBand="1"/>
      </w:tblPr>
      <w:tblGrid>
        <w:gridCol w:w="4045"/>
        <w:gridCol w:w="6030"/>
      </w:tblGrid>
      <w:tr w:rsidR="00D8761C" w14:paraId="438CC122"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0C8DC6FD" w14:textId="77777777" w:rsidR="00D8761C" w:rsidRDefault="00D8761C" w:rsidP="00610493">
            <w:r>
              <w:t>Response</w:t>
            </w:r>
          </w:p>
        </w:tc>
        <w:tc>
          <w:tcPr>
            <w:tcW w:w="6030" w:type="dxa"/>
          </w:tcPr>
          <w:p w14:paraId="3617A11E"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
        <w:tblW w:w="0" w:type="auto"/>
        <w:tblLook w:val="04A0" w:firstRow="1" w:lastRow="0" w:firstColumn="1" w:lastColumn="0" w:noHBand="0" w:noVBand="1"/>
      </w:tblPr>
      <w:tblGrid>
        <w:gridCol w:w="10070"/>
      </w:tblGrid>
      <w:tr w:rsidR="00D8761C" w:rsidRPr="00D45B42" w14:paraId="1985CFAF"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6F1F2971" w14:textId="2AB5E888" w:rsidR="00D8761C" w:rsidRPr="0057168A" w:rsidRDefault="00D8761C" w:rsidP="00610493">
            <w:pPr>
              <w:rPr>
                <w:color w:val="0070C0"/>
                <w:szCs w:val="20"/>
              </w:rPr>
            </w:pPr>
            <w:r w:rsidRPr="0057168A">
              <w:rPr>
                <w:color w:val="0070C0"/>
                <w:szCs w:val="20"/>
              </w:rPr>
              <w:t>The DT concurs with S</w:t>
            </w:r>
            <w:r>
              <w:rPr>
                <w:color w:val="0070C0"/>
                <w:szCs w:val="20"/>
              </w:rPr>
              <w:t>C</w:t>
            </w:r>
            <w:r w:rsidRPr="0057168A">
              <w:rPr>
                <w:color w:val="0070C0"/>
                <w:szCs w:val="20"/>
              </w:rPr>
              <w:t>PUD that the proposed standard does not pose a serious and substantial threat to public, health, safety, welfare, or national security.</w:t>
            </w:r>
          </w:p>
        </w:tc>
      </w:tr>
      <w:bookmarkEnd w:id="13"/>
    </w:tbl>
    <w:p w14:paraId="3D7D3B53" w14:textId="77777777" w:rsidR="00D8761C" w:rsidRDefault="00D8761C" w:rsidP="00D8761C">
      <w:pPr>
        <w:rPr>
          <w:sz w:val="20"/>
          <w:szCs w:val="20"/>
        </w:rPr>
      </w:pPr>
    </w:p>
    <w:p w14:paraId="0859B553" w14:textId="77777777" w:rsidR="00D8761C" w:rsidRDefault="00D8761C" w:rsidP="00D8761C">
      <w:pPr>
        <w:rPr>
          <w:sz w:val="20"/>
          <w:szCs w:val="20"/>
        </w:rPr>
      </w:pPr>
      <w:r>
        <w:rPr>
          <w:sz w:val="20"/>
          <w:szCs w:val="20"/>
        </w:rPr>
        <w:br w:type="page"/>
      </w:r>
    </w:p>
    <w:tbl>
      <w:tblPr>
        <w:tblStyle w:val="WECCTableStyle1"/>
        <w:tblW w:w="0" w:type="auto"/>
        <w:tblLook w:val="04A0" w:firstRow="1" w:lastRow="0" w:firstColumn="1" w:lastColumn="0" w:noHBand="0" w:noVBand="1"/>
      </w:tblPr>
      <w:tblGrid>
        <w:gridCol w:w="10070"/>
      </w:tblGrid>
      <w:tr w:rsidR="00D8761C" w:rsidRPr="00D8761C" w14:paraId="34F94EFD"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shd w:val="clear" w:color="auto" w:fill="auto"/>
            <w:tcMar>
              <w:top w:w="43" w:type="dxa"/>
              <w:left w:w="115" w:type="dxa"/>
              <w:bottom w:w="43" w:type="dxa"/>
              <w:right w:w="115" w:type="dxa"/>
            </w:tcMar>
          </w:tcPr>
          <w:p w14:paraId="748DE048" w14:textId="77777777" w:rsidR="00D8761C" w:rsidRPr="00D8761C" w:rsidRDefault="00D8761C" w:rsidP="00610493">
            <w:pPr>
              <w:rPr>
                <w:rFonts w:asciiTheme="majorHAnsi" w:hAnsiTheme="majorHAnsi"/>
                <w:color w:val="auto"/>
                <w:szCs w:val="20"/>
              </w:rPr>
            </w:pPr>
            <w:r w:rsidRPr="00D8761C">
              <w:rPr>
                <w:rFonts w:asciiTheme="majorHAnsi" w:hAnsiTheme="majorHAnsi"/>
                <w:color w:val="auto"/>
                <w:szCs w:val="20"/>
              </w:rPr>
              <w:t xml:space="preserve">Comment Summary. For proposed changes and avenues forward, please see the summary above. </w:t>
            </w:r>
          </w:p>
          <w:p w14:paraId="01E20DAA" w14:textId="77777777" w:rsidR="00D8761C" w:rsidRPr="00D8761C" w:rsidRDefault="00D8761C" w:rsidP="00610493">
            <w:pPr>
              <w:rPr>
                <w:rFonts w:asciiTheme="majorHAnsi" w:hAnsiTheme="majorHAnsi"/>
                <w:color w:val="auto"/>
                <w:szCs w:val="20"/>
              </w:rPr>
            </w:pPr>
          </w:p>
          <w:p w14:paraId="5832EEA0" w14:textId="77777777" w:rsidR="00D8761C" w:rsidRPr="00D8761C" w:rsidRDefault="00D8761C" w:rsidP="00610493">
            <w:pPr>
              <w:rPr>
                <w:b w:val="0"/>
                <w:bCs w:val="0"/>
                <w:color w:val="auto"/>
                <w:szCs w:val="20"/>
              </w:rPr>
            </w:pPr>
            <w:r w:rsidRPr="00D8761C">
              <w:rPr>
                <w:rFonts w:asciiTheme="majorHAnsi" w:hAnsiTheme="majorHAnsi"/>
                <w:i/>
                <w:iCs/>
                <w:color w:val="auto"/>
                <w:szCs w:val="20"/>
              </w:rPr>
              <w:t>Question 4</w:t>
            </w:r>
            <w:r w:rsidRPr="00D8761C">
              <w:rPr>
                <w:rFonts w:asciiTheme="majorHAnsi" w:hAnsiTheme="majorHAnsi"/>
                <w:color w:val="auto"/>
                <w:szCs w:val="20"/>
              </w:rPr>
              <w:t xml:space="preserve"> - Does the proposed Regional Reliability Standard pose a serious and substantial burden on competitive markets within the interconnection that is not necessary for reliability?</w:t>
            </w:r>
          </w:p>
        </w:tc>
      </w:tr>
    </w:tbl>
    <w:tbl>
      <w:tblPr>
        <w:tblStyle w:val="WECCTable"/>
        <w:tblW w:w="10075" w:type="dxa"/>
        <w:tblLook w:val="04A0" w:firstRow="1" w:lastRow="0" w:firstColumn="1" w:lastColumn="0" w:noHBand="0" w:noVBand="1"/>
      </w:tblPr>
      <w:tblGrid>
        <w:gridCol w:w="4045"/>
        <w:gridCol w:w="6030"/>
      </w:tblGrid>
      <w:tr w:rsidR="00D8761C" w14:paraId="639A6BB4"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7532A5F6" w14:textId="77777777" w:rsidR="00D8761C" w:rsidRDefault="00D8761C" w:rsidP="00610493">
            <w:r>
              <w:t>Commenter</w:t>
            </w:r>
          </w:p>
        </w:tc>
        <w:tc>
          <w:tcPr>
            <w:tcW w:w="6030" w:type="dxa"/>
          </w:tcPr>
          <w:p w14:paraId="3315BA57"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1"/>
        <w:tblW w:w="0" w:type="auto"/>
        <w:tblLook w:val="04A0" w:firstRow="1" w:lastRow="0" w:firstColumn="1" w:lastColumn="0" w:noHBand="0" w:noVBand="1"/>
      </w:tblPr>
      <w:tblGrid>
        <w:gridCol w:w="4045"/>
        <w:gridCol w:w="6025"/>
      </w:tblGrid>
      <w:tr w:rsidR="00D8761C" w:rsidRPr="00D8761C" w14:paraId="69B328EE"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3F989E53" w14:textId="3622B8E6" w:rsidR="00D8761C" w:rsidRPr="00D8761C" w:rsidRDefault="00D8761C" w:rsidP="00610493">
            <w:pPr>
              <w:spacing w:after="120"/>
              <w:rPr>
                <w:b w:val="0"/>
                <w:bCs w:val="0"/>
                <w:color w:val="auto"/>
                <w:szCs w:val="20"/>
              </w:rPr>
            </w:pPr>
            <w:r w:rsidRPr="00D8761C">
              <w:rPr>
                <w:b w:val="0"/>
                <w:bCs w:val="0"/>
                <w:color w:val="auto"/>
                <w:szCs w:val="20"/>
              </w:rPr>
              <w:t>All respondents except S</w:t>
            </w:r>
            <w:r>
              <w:rPr>
                <w:b w:val="0"/>
                <w:bCs w:val="0"/>
                <w:color w:val="auto"/>
                <w:szCs w:val="20"/>
              </w:rPr>
              <w:t>C</w:t>
            </w:r>
            <w:r w:rsidRPr="00D8761C">
              <w:rPr>
                <w:b w:val="0"/>
                <w:bCs w:val="0"/>
                <w:color w:val="auto"/>
                <w:szCs w:val="20"/>
              </w:rPr>
              <w:t xml:space="preserve">PUD. </w:t>
            </w:r>
          </w:p>
        </w:tc>
        <w:tc>
          <w:tcPr>
            <w:tcW w:w="6025" w:type="dxa"/>
            <w:tcBorders>
              <w:bottom w:val="single" w:sz="2" w:space="0" w:color="auto"/>
            </w:tcBorders>
            <w:shd w:val="clear" w:color="auto" w:fill="auto"/>
            <w:tcMar>
              <w:top w:w="43" w:type="dxa"/>
              <w:left w:w="115" w:type="dxa"/>
              <w:bottom w:w="43" w:type="dxa"/>
              <w:right w:w="115" w:type="dxa"/>
            </w:tcMar>
          </w:tcPr>
          <w:p w14:paraId="5CFE9BAF" w14:textId="6D1C2798" w:rsidR="00D8761C" w:rsidRPr="00D8761C" w:rsidRDefault="00D8761C" w:rsidP="00610493">
            <w:pPr>
              <w:spacing w:after="120"/>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D8761C">
              <w:rPr>
                <w:b w:val="0"/>
                <w:bCs w:val="0"/>
                <w:color w:val="auto"/>
                <w:szCs w:val="20"/>
              </w:rPr>
              <w:t>All those except S</w:t>
            </w:r>
            <w:r>
              <w:rPr>
                <w:b w:val="0"/>
                <w:bCs w:val="0"/>
                <w:color w:val="auto"/>
                <w:szCs w:val="20"/>
              </w:rPr>
              <w:t>C</w:t>
            </w:r>
            <w:r w:rsidRPr="00D8761C">
              <w:rPr>
                <w:b w:val="0"/>
                <w:bCs w:val="0"/>
                <w:color w:val="auto"/>
                <w:szCs w:val="20"/>
              </w:rPr>
              <w:t xml:space="preserve">PUD agreed the project posed no serious and substantial burden on competitive markets within the interconnection. </w:t>
            </w:r>
          </w:p>
          <w:p w14:paraId="2EA777FE" w14:textId="77777777" w:rsidR="00D8761C" w:rsidRPr="00D8761C" w:rsidRDefault="00D8761C" w:rsidP="00610493">
            <w:pPr>
              <w:spacing w:after="120"/>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D8761C">
              <w:rPr>
                <w:b w:val="0"/>
                <w:bCs w:val="0"/>
                <w:color w:val="auto"/>
                <w:szCs w:val="20"/>
              </w:rPr>
              <w:t>HQ as Generator Operator/Generator Owner at the Northeast Power Coordinating Council had no comment.</w:t>
            </w:r>
          </w:p>
        </w:tc>
      </w:tr>
    </w:tbl>
    <w:tbl>
      <w:tblPr>
        <w:tblStyle w:val="WECCTable"/>
        <w:tblW w:w="10075" w:type="dxa"/>
        <w:tblLook w:val="04A0" w:firstRow="1" w:lastRow="0" w:firstColumn="1" w:lastColumn="0" w:noHBand="0" w:noVBand="1"/>
      </w:tblPr>
      <w:tblGrid>
        <w:gridCol w:w="4045"/>
        <w:gridCol w:w="6030"/>
      </w:tblGrid>
      <w:tr w:rsidR="00D8761C" w14:paraId="22240D3B"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1FA67E87" w14:textId="77777777" w:rsidR="00D8761C" w:rsidRDefault="00D8761C" w:rsidP="00610493">
            <w:r>
              <w:t>Response</w:t>
            </w:r>
          </w:p>
        </w:tc>
        <w:tc>
          <w:tcPr>
            <w:tcW w:w="6030" w:type="dxa"/>
          </w:tcPr>
          <w:p w14:paraId="5150C1B5"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1"/>
        <w:tblW w:w="0" w:type="auto"/>
        <w:tblLook w:val="04A0" w:firstRow="1" w:lastRow="0" w:firstColumn="1" w:lastColumn="0" w:noHBand="0" w:noVBand="1"/>
      </w:tblPr>
      <w:tblGrid>
        <w:gridCol w:w="10070"/>
      </w:tblGrid>
      <w:tr w:rsidR="00D8761C" w:rsidRPr="00D8761C" w14:paraId="3BAF2E31"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76C69781" w14:textId="77777777" w:rsidR="00D8761C" w:rsidRPr="00D8761C" w:rsidRDefault="00D8761C" w:rsidP="00610493">
            <w:pPr>
              <w:spacing w:after="120"/>
              <w:rPr>
                <w:b w:val="0"/>
                <w:bCs w:val="0"/>
                <w:color w:val="0070C0"/>
                <w:szCs w:val="20"/>
              </w:rPr>
            </w:pPr>
            <w:r w:rsidRPr="00D8761C">
              <w:rPr>
                <w:b w:val="0"/>
                <w:bCs w:val="0"/>
                <w:color w:val="0070C0"/>
                <w:szCs w:val="20"/>
              </w:rPr>
              <w:t xml:space="preserve">The WECC-0141 drafting team (DT) appreciates time and talents of all those participating. </w:t>
            </w:r>
          </w:p>
        </w:tc>
      </w:tr>
    </w:tbl>
    <w:tbl>
      <w:tblPr>
        <w:tblStyle w:val="WECCTable"/>
        <w:tblW w:w="10075" w:type="dxa"/>
        <w:tblLook w:val="04A0" w:firstRow="1" w:lastRow="0" w:firstColumn="1" w:lastColumn="0" w:noHBand="0" w:noVBand="1"/>
      </w:tblPr>
      <w:tblGrid>
        <w:gridCol w:w="4045"/>
        <w:gridCol w:w="6030"/>
      </w:tblGrid>
      <w:tr w:rsidR="00D8761C" w14:paraId="032E2D87"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6C27DC77" w14:textId="77777777" w:rsidR="00D8761C" w:rsidRDefault="00D8761C" w:rsidP="00610493">
            <w:r>
              <w:t>Commenter</w:t>
            </w:r>
          </w:p>
        </w:tc>
        <w:tc>
          <w:tcPr>
            <w:tcW w:w="6030" w:type="dxa"/>
          </w:tcPr>
          <w:p w14:paraId="5041B0F3"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1"/>
        <w:tblW w:w="0" w:type="auto"/>
        <w:tblLook w:val="04A0" w:firstRow="1" w:lastRow="0" w:firstColumn="1" w:lastColumn="0" w:noHBand="0" w:noVBand="1"/>
      </w:tblPr>
      <w:tblGrid>
        <w:gridCol w:w="4045"/>
        <w:gridCol w:w="6025"/>
      </w:tblGrid>
      <w:tr w:rsidR="00D8761C" w:rsidRPr="00D8761C" w14:paraId="51F23AF8"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5A34FBD5" w14:textId="27981A78" w:rsidR="00D8761C" w:rsidRPr="00D8761C" w:rsidRDefault="00D8761C" w:rsidP="00610493">
            <w:pPr>
              <w:spacing w:after="120"/>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PUD</w:t>
            </w:r>
          </w:p>
        </w:tc>
        <w:tc>
          <w:tcPr>
            <w:tcW w:w="6025" w:type="dxa"/>
            <w:tcBorders>
              <w:bottom w:val="single" w:sz="2" w:space="0" w:color="auto"/>
            </w:tcBorders>
            <w:shd w:val="clear" w:color="auto" w:fill="auto"/>
            <w:tcMar>
              <w:top w:w="43" w:type="dxa"/>
              <w:left w:w="115" w:type="dxa"/>
              <w:bottom w:w="43" w:type="dxa"/>
              <w:right w:w="115" w:type="dxa"/>
            </w:tcMar>
          </w:tcPr>
          <w:p w14:paraId="3DADF6B1" w14:textId="113C34EE"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S</w:t>
            </w:r>
            <w:r>
              <w:rPr>
                <w:rFonts w:asciiTheme="minorHAnsi" w:hAnsiTheme="minorHAnsi"/>
                <w:b w:val="0"/>
                <w:bCs w:val="0"/>
                <w:color w:val="auto"/>
                <w:szCs w:val="20"/>
              </w:rPr>
              <w:t>C</w:t>
            </w:r>
            <w:r w:rsidRPr="00D8761C">
              <w:rPr>
                <w:rFonts w:asciiTheme="minorHAnsi" w:hAnsiTheme="minorHAnsi"/>
                <w:b w:val="0"/>
                <w:bCs w:val="0"/>
                <w:color w:val="auto"/>
                <w:szCs w:val="20"/>
              </w:rPr>
              <w:t>PUD responded “yes” to question 4, adding the following comment.</w:t>
            </w:r>
          </w:p>
          <w:p w14:paraId="55DDB5BF"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35924B3C"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“Yes, time and resources impact the operating budgets and staff time burden in competitive markets. The new proposed language (added categories) could add additional burden in determining which category a maintenance methodology/work practice falls in to. The new categories potentially introduce inconsistencies across utilities, for a same/similar maintenance methodology / work practice, which would require additional correspondence with EROs about which category to define the Utility’s maintenance methodology/work practices fall in to. This would lead to additional burden on EROs to implement. As it applies to Attachment A, Section 2 Maintenance, the proposed added categories are redundant and can be combined. Recommend providing greater specificity/guidance in the existing categories, i.e.:</w:t>
            </w:r>
          </w:p>
          <w:p w14:paraId="485D1763"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3656FB98" w14:textId="77777777" w:rsidR="00D8761C" w:rsidRPr="00D8761C" w:rsidRDefault="00D8761C" w:rsidP="00D8761C">
            <w:pPr>
              <w:pStyle w:val="NoSpacing"/>
              <w:numPr>
                <w:ilvl w:val="0"/>
                <w:numId w:val="47"/>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OEM manufacture based maintenance would fall under the time-based approach.</w:t>
            </w:r>
          </w:p>
          <w:p w14:paraId="41FECCC3" w14:textId="77777777" w:rsidR="00D8761C" w:rsidRPr="00D8761C" w:rsidRDefault="00D8761C" w:rsidP="00D8761C">
            <w:pPr>
              <w:pStyle w:val="NoSpacing"/>
              <w:numPr>
                <w:ilvl w:val="0"/>
                <w:numId w:val="47"/>
              </w:numPr>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Condition Based (a combo of health assessment and the way in which the equipment is operated) is the same as risk based, consider combining versus a separate method, if there is a desire to provide parameters of what defines condition-based maintenance then put the specifics under the condition-based category section.</w:t>
            </w:r>
          </w:p>
          <w:p w14:paraId="670226CF"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5897C876" w14:textId="77777777" w:rsidR="00D8761C" w:rsidRPr="00D8761C"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D8761C">
              <w:rPr>
                <w:rFonts w:asciiTheme="minorHAnsi" w:hAnsiTheme="minorHAnsi"/>
                <w:b w:val="0"/>
                <w:bCs w:val="0"/>
                <w:color w:val="auto"/>
                <w:szCs w:val="20"/>
              </w:rPr>
              <w:t>Again, as it applies to Section C, M3 1.2, language and specificity is very important in interpreting applicability in which to achieve the intended and desired results being set forth in NERC FAC-501. There is potential variation in interpretation of the proposed language. I provided a suggested edit I believe provides additional clarity.</w:t>
            </w:r>
          </w:p>
        </w:tc>
      </w:tr>
    </w:tbl>
    <w:tbl>
      <w:tblPr>
        <w:tblStyle w:val="WECCTable"/>
        <w:tblW w:w="10075" w:type="dxa"/>
        <w:tblLook w:val="04A0" w:firstRow="1" w:lastRow="0" w:firstColumn="1" w:lastColumn="0" w:noHBand="0" w:noVBand="1"/>
      </w:tblPr>
      <w:tblGrid>
        <w:gridCol w:w="4045"/>
        <w:gridCol w:w="6030"/>
      </w:tblGrid>
      <w:tr w:rsidR="00D8761C" w14:paraId="7C94BBB4"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0140FEE7" w14:textId="77777777" w:rsidR="00D8761C" w:rsidRDefault="00D8761C" w:rsidP="00610493">
            <w:r>
              <w:t>Response</w:t>
            </w:r>
          </w:p>
        </w:tc>
        <w:tc>
          <w:tcPr>
            <w:tcW w:w="6030" w:type="dxa"/>
          </w:tcPr>
          <w:p w14:paraId="357FA2C9" w14:textId="77777777" w:rsidR="00D8761C" w:rsidRDefault="00D8761C"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1"/>
        <w:tblW w:w="0" w:type="auto"/>
        <w:tblLook w:val="04A0" w:firstRow="1" w:lastRow="0" w:firstColumn="1" w:lastColumn="0" w:noHBand="0" w:noVBand="1"/>
      </w:tblPr>
      <w:tblGrid>
        <w:gridCol w:w="10070"/>
      </w:tblGrid>
      <w:tr w:rsidR="00D8761C" w:rsidRPr="00D8761C" w14:paraId="7F143CCF" w14:textId="77777777" w:rsidTr="00D8761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0AFB82EB" w14:textId="77777777" w:rsidR="00D8761C" w:rsidRPr="00D8761C" w:rsidRDefault="00D8761C" w:rsidP="00610493">
            <w:pPr>
              <w:spacing w:after="120"/>
              <w:rPr>
                <w:b w:val="0"/>
                <w:bCs w:val="0"/>
                <w:color w:val="0070C0"/>
                <w:szCs w:val="20"/>
              </w:rPr>
            </w:pPr>
            <w:r w:rsidRPr="00D8761C">
              <w:rPr>
                <w:b w:val="0"/>
                <w:bCs w:val="0"/>
                <w:i/>
                <w:color w:val="0070C0"/>
                <w:szCs w:val="20"/>
              </w:rPr>
              <w:t>Competitive Burden/Benefit-Burden Analysis</w:t>
            </w:r>
          </w:p>
          <w:p w14:paraId="6DDA2704" w14:textId="4DC73EF0" w:rsidR="00D8761C" w:rsidRPr="00D8761C" w:rsidRDefault="00D8761C" w:rsidP="00610493">
            <w:pPr>
              <w:spacing w:after="120"/>
              <w:rPr>
                <w:b w:val="0"/>
                <w:bCs w:val="0"/>
                <w:color w:val="0070C0"/>
                <w:szCs w:val="20"/>
              </w:rPr>
            </w:pPr>
            <w:r w:rsidRPr="00D8761C">
              <w:rPr>
                <w:b w:val="0"/>
                <w:bCs w:val="0"/>
                <w:color w:val="0070C0"/>
                <w:szCs w:val="20"/>
              </w:rPr>
              <w:t>S</w:t>
            </w:r>
            <w:r>
              <w:rPr>
                <w:b w:val="0"/>
                <w:bCs w:val="0"/>
                <w:color w:val="0070C0"/>
                <w:szCs w:val="20"/>
              </w:rPr>
              <w:t>C</w:t>
            </w:r>
            <w:r w:rsidRPr="00D8761C">
              <w:rPr>
                <w:b w:val="0"/>
                <w:bCs w:val="0"/>
                <w:color w:val="0070C0"/>
                <w:szCs w:val="20"/>
              </w:rPr>
              <w:t>PUD again misses the call of the question.</w:t>
            </w:r>
          </w:p>
          <w:p w14:paraId="6517C6C0" w14:textId="0E3DBBD2" w:rsidR="00D8761C" w:rsidRPr="00D8761C" w:rsidRDefault="00D8761C" w:rsidP="00610493">
            <w:pPr>
              <w:spacing w:after="120"/>
              <w:rPr>
                <w:b w:val="0"/>
                <w:bCs w:val="0"/>
                <w:color w:val="0070C0"/>
                <w:szCs w:val="20"/>
              </w:rPr>
            </w:pPr>
            <w:r w:rsidRPr="00D8761C">
              <w:rPr>
                <w:b w:val="0"/>
                <w:bCs w:val="0"/>
                <w:color w:val="0070C0"/>
                <w:szCs w:val="20"/>
              </w:rPr>
              <w:t>The call of the question is whether the standard imposes a serious and substantial burden on competitive markets. If the DT understands S</w:t>
            </w:r>
            <w:r w:rsidR="00943E3E">
              <w:rPr>
                <w:b w:val="0"/>
                <w:bCs w:val="0"/>
                <w:color w:val="0070C0"/>
                <w:szCs w:val="20"/>
              </w:rPr>
              <w:t>C</w:t>
            </w:r>
            <w:r w:rsidRPr="00D8761C">
              <w:rPr>
                <w:b w:val="0"/>
                <w:bCs w:val="0"/>
                <w:color w:val="0070C0"/>
                <w:szCs w:val="20"/>
              </w:rPr>
              <w:t xml:space="preserve">PUD’s argument, the </w:t>
            </w:r>
            <w:r w:rsidR="00943E3E" w:rsidRPr="00D8761C">
              <w:rPr>
                <w:b w:val="0"/>
                <w:bCs w:val="0"/>
                <w:color w:val="0070C0"/>
                <w:szCs w:val="20"/>
              </w:rPr>
              <w:t>newly proposed</w:t>
            </w:r>
            <w:r w:rsidRPr="00D8761C">
              <w:rPr>
                <w:b w:val="0"/>
                <w:bCs w:val="0"/>
                <w:color w:val="0070C0"/>
                <w:szCs w:val="20"/>
              </w:rPr>
              <w:t xml:space="preserve"> reliability tasks imposed in Attachment A may shift resources away from the market side of the industry to the reliability side of the industry. Thus, markets may be negatively impacted through a shifting of resources.</w:t>
            </w:r>
          </w:p>
          <w:p w14:paraId="5C30AF28" w14:textId="2D1BACC4" w:rsidR="00D8761C" w:rsidRPr="00D8761C" w:rsidRDefault="00D8761C" w:rsidP="00610493">
            <w:pPr>
              <w:spacing w:after="120"/>
              <w:rPr>
                <w:b w:val="0"/>
                <w:bCs w:val="0"/>
                <w:color w:val="0070C0"/>
                <w:szCs w:val="20"/>
              </w:rPr>
            </w:pPr>
            <w:r w:rsidRPr="00D8761C">
              <w:rPr>
                <w:b w:val="0"/>
                <w:bCs w:val="0"/>
                <w:color w:val="0070C0"/>
                <w:szCs w:val="20"/>
              </w:rPr>
              <w:t>Though S</w:t>
            </w:r>
            <w:r w:rsidR="00943E3E">
              <w:rPr>
                <w:b w:val="0"/>
                <w:bCs w:val="0"/>
                <w:color w:val="0070C0"/>
                <w:szCs w:val="20"/>
              </w:rPr>
              <w:t>C</w:t>
            </w:r>
            <w:r w:rsidRPr="00D8761C">
              <w:rPr>
                <w:b w:val="0"/>
                <w:bCs w:val="0"/>
                <w:color w:val="0070C0"/>
                <w:szCs w:val="20"/>
              </w:rPr>
              <w:t xml:space="preserve">PUD’s argument is academically possible, the more likely scenario is that personnel currently assigned to the task will continue to perform the tasks, as required in Attachment A. </w:t>
            </w:r>
          </w:p>
          <w:p w14:paraId="52BC7197" w14:textId="70017CFB" w:rsidR="00D8761C" w:rsidRPr="00D8761C" w:rsidRDefault="00D8761C" w:rsidP="00610493">
            <w:pPr>
              <w:spacing w:after="120"/>
              <w:rPr>
                <w:b w:val="0"/>
                <w:bCs w:val="0"/>
                <w:color w:val="0070C0"/>
                <w:szCs w:val="20"/>
              </w:rPr>
            </w:pPr>
            <w:r w:rsidRPr="00D8761C">
              <w:rPr>
                <w:b w:val="0"/>
                <w:bCs w:val="0"/>
                <w:color w:val="0070C0"/>
                <w:szCs w:val="20"/>
              </w:rPr>
              <w:t>Because the project adds new categories without eliminating existing categories, if an applicable entity chooses to continue using the as-approved methods, that entity will have no new/changed burden</w:t>
            </w:r>
            <w:r w:rsidR="00943E3E">
              <w:rPr>
                <w:b w:val="0"/>
                <w:bCs w:val="0"/>
                <w:color w:val="0070C0"/>
                <w:szCs w:val="20"/>
              </w:rPr>
              <w:t xml:space="preserve">.  </w:t>
            </w:r>
            <w:r w:rsidRPr="00D8761C">
              <w:rPr>
                <w:b w:val="0"/>
                <w:bCs w:val="0"/>
                <w:color w:val="0070C0"/>
                <w:szCs w:val="20"/>
              </w:rPr>
              <w:t>Alternatively, if an applicable entity wishes to use one of the as-proposed methods on Attachment A, S</w:t>
            </w:r>
            <w:r w:rsidR="00943E3E">
              <w:rPr>
                <w:b w:val="0"/>
                <w:bCs w:val="0"/>
                <w:color w:val="0070C0"/>
                <w:szCs w:val="20"/>
              </w:rPr>
              <w:t>C</w:t>
            </w:r>
            <w:r w:rsidRPr="00D8761C">
              <w:rPr>
                <w:b w:val="0"/>
                <w:bCs w:val="0"/>
                <w:color w:val="0070C0"/>
                <w:szCs w:val="20"/>
              </w:rPr>
              <w:t>PUD is correct that a di minimis burden may result. That said, it would be a burden of the applicable entity’s choice. As such, the DT does not concur that the as-proposed changes to Attachment A will impose any “serious or substantial” burden on competition.</w:t>
            </w:r>
          </w:p>
          <w:p w14:paraId="225E8274" w14:textId="77777777" w:rsidR="00D8761C" w:rsidRPr="00D8761C" w:rsidRDefault="00D8761C" w:rsidP="00610493">
            <w:pPr>
              <w:spacing w:after="120"/>
              <w:rPr>
                <w:b w:val="0"/>
                <w:bCs w:val="0"/>
                <w:i/>
                <w:color w:val="0070C0"/>
                <w:szCs w:val="20"/>
              </w:rPr>
            </w:pPr>
            <w:r w:rsidRPr="00D8761C">
              <w:rPr>
                <w:b w:val="0"/>
                <w:bCs w:val="0"/>
                <w:i/>
                <w:color w:val="0070C0"/>
                <w:szCs w:val="20"/>
              </w:rPr>
              <w:t>Variability is not a Flaw</w:t>
            </w:r>
          </w:p>
          <w:p w14:paraId="1EBF5264" w14:textId="6E8F5778" w:rsidR="00D8761C" w:rsidRPr="00D8761C" w:rsidRDefault="00D8761C" w:rsidP="00610493">
            <w:pPr>
              <w:spacing w:after="120"/>
              <w:rPr>
                <w:b w:val="0"/>
                <w:bCs w:val="0"/>
                <w:color w:val="0070C0"/>
                <w:szCs w:val="20"/>
              </w:rPr>
            </w:pPr>
            <w:r w:rsidRPr="00D8761C">
              <w:rPr>
                <w:b w:val="0"/>
                <w:bCs w:val="0"/>
                <w:color w:val="0070C0"/>
                <w:szCs w:val="20"/>
              </w:rPr>
              <w:t>The DT concurs that, as proposed, implementation of the Transmission Maintenance Inspection Plan (TMIP) may vary from one utility to the next</w:t>
            </w:r>
            <w:r w:rsidR="00943E3E">
              <w:rPr>
                <w:b w:val="0"/>
                <w:bCs w:val="0"/>
                <w:color w:val="0070C0"/>
                <w:szCs w:val="20"/>
              </w:rPr>
              <w:t xml:space="preserve">.  </w:t>
            </w:r>
            <w:r w:rsidRPr="00D8761C">
              <w:rPr>
                <w:b w:val="0"/>
                <w:bCs w:val="0"/>
                <w:color w:val="0070C0"/>
                <w:szCs w:val="20"/>
              </w:rPr>
              <w:t>However, variation is not a fatal flaw. Rather, the DT intentionally designed Attachment A to allow for varying configurations from one utility to the next—just as it is designed and approved today.</w:t>
            </w:r>
          </w:p>
          <w:p w14:paraId="2CC88D49" w14:textId="77777777" w:rsidR="00D8761C" w:rsidRPr="00D8761C" w:rsidRDefault="00D8761C" w:rsidP="00610493">
            <w:pPr>
              <w:spacing w:after="120"/>
              <w:rPr>
                <w:b w:val="0"/>
                <w:bCs w:val="0"/>
                <w:color w:val="0070C0"/>
                <w:szCs w:val="20"/>
              </w:rPr>
            </w:pPr>
            <w:r w:rsidRPr="00D8761C">
              <w:rPr>
                <w:b w:val="0"/>
                <w:bCs w:val="0"/>
                <w:color w:val="0070C0"/>
                <w:szCs w:val="20"/>
              </w:rPr>
              <w:t xml:space="preserve">This approach avoids the pitfalls of drafting a “one-size-fits-all” or defaulting to the lowest common denominator, as voiced by FERC in Order 672, P329, see also Attachment K of this filing. </w:t>
            </w:r>
          </w:p>
          <w:p w14:paraId="24E103E3" w14:textId="197AA19A" w:rsidR="00D8761C" w:rsidRPr="00D8761C" w:rsidRDefault="00D8761C" w:rsidP="00610493">
            <w:pPr>
              <w:spacing w:after="120"/>
              <w:rPr>
                <w:b w:val="0"/>
                <w:bCs w:val="0"/>
                <w:color w:val="0070C0"/>
                <w:szCs w:val="20"/>
              </w:rPr>
            </w:pPr>
            <w:r w:rsidRPr="00D8761C">
              <w:rPr>
                <w:b w:val="0"/>
                <w:bCs w:val="0"/>
                <w:color w:val="0070C0"/>
                <w:szCs w:val="20"/>
              </w:rPr>
              <w:t xml:space="preserve">This is not a novel concept as evidenced in FAC-003, Vegetation Management (and elsewhere) wherein various attachments to that </w:t>
            </w:r>
            <w:r w:rsidR="00943E3E">
              <w:rPr>
                <w:b w:val="0"/>
                <w:bCs w:val="0"/>
                <w:color w:val="0070C0"/>
                <w:szCs w:val="20"/>
              </w:rPr>
              <w:t>S</w:t>
            </w:r>
            <w:r w:rsidRPr="00D8761C">
              <w:rPr>
                <w:b w:val="0"/>
                <w:bCs w:val="0"/>
                <w:color w:val="0070C0"/>
                <w:szCs w:val="20"/>
              </w:rPr>
              <w:t>tandard specify varying tasks based on the specifics of the utility/geography.</w:t>
            </w:r>
          </w:p>
          <w:p w14:paraId="675ED130" w14:textId="4FF3594E" w:rsidR="00D8761C" w:rsidRPr="00D8761C" w:rsidRDefault="00D8761C" w:rsidP="00610493">
            <w:pPr>
              <w:spacing w:after="120"/>
              <w:rPr>
                <w:b w:val="0"/>
                <w:bCs w:val="0"/>
                <w:color w:val="0070C0"/>
                <w:szCs w:val="20"/>
              </w:rPr>
            </w:pPr>
            <w:r w:rsidRPr="00D8761C">
              <w:rPr>
                <w:b w:val="0"/>
                <w:bCs w:val="0"/>
                <w:color w:val="0070C0"/>
                <w:szCs w:val="20"/>
              </w:rPr>
              <w:t>S</w:t>
            </w:r>
            <w:r w:rsidR="00943E3E">
              <w:rPr>
                <w:b w:val="0"/>
                <w:bCs w:val="0"/>
                <w:color w:val="0070C0"/>
                <w:szCs w:val="20"/>
              </w:rPr>
              <w:t>C</w:t>
            </w:r>
            <w:r w:rsidRPr="00D8761C">
              <w:rPr>
                <w:b w:val="0"/>
                <w:bCs w:val="0"/>
                <w:color w:val="0070C0"/>
                <w:szCs w:val="20"/>
              </w:rPr>
              <w:t xml:space="preserve">PUD further argues that adding new categories will add burden because applicable entities will need to correspond with the ERO to determine which category an activity </w:t>
            </w:r>
            <w:r w:rsidR="00943E3E" w:rsidRPr="00D8761C">
              <w:rPr>
                <w:b w:val="0"/>
                <w:bCs w:val="0"/>
                <w:color w:val="0070C0"/>
                <w:szCs w:val="20"/>
              </w:rPr>
              <w:t>fall</w:t>
            </w:r>
            <w:r w:rsidRPr="00D8761C">
              <w:rPr>
                <w:b w:val="0"/>
                <w:bCs w:val="0"/>
                <w:color w:val="0070C0"/>
                <w:szCs w:val="20"/>
              </w:rPr>
              <w:t xml:space="preserve"> into. This is incorrect.</w:t>
            </w:r>
          </w:p>
          <w:p w14:paraId="0C947E30" w14:textId="77777777" w:rsidR="00943E3E" w:rsidRDefault="00D8761C" w:rsidP="00610493">
            <w:pPr>
              <w:spacing w:after="120"/>
              <w:rPr>
                <w:color w:val="0070C0"/>
                <w:szCs w:val="20"/>
              </w:rPr>
            </w:pPr>
            <w:r w:rsidRPr="00D8761C">
              <w:rPr>
                <w:b w:val="0"/>
                <w:bCs w:val="0"/>
                <w:color w:val="0070C0"/>
                <w:szCs w:val="20"/>
              </w:rPr>
              <w:t>The plain read of the language says the Transmission Owner will: 1) have a TMIP, 2) update that TMIP, and 3) use that TMIP (Requirements R1-R3), and the TMIP must include specific elements (Attachment A).</w:t>
            </w:r>
          </w:p>
          <w:p w14:paraId="3B8C0158" w14:textId="37B9BD32" w:rsidR="00D8761C" w:rsidRDefault="00D8761C" w:rsidP="00610493">
            <w:pPr>
              <w:spacing w:after="120"/>
              <w:rPr>
                <w:color w:val="0070C0"/>
                <w:szCs w:val="20"/>
              </w:rPr>
            </w:pPr>
            <w:r w:rsidRPr="00D8761C">
              <w:rPr>
                <w:b w:val="0"/>
                <w:bCs w:val="0"/>
                <w:color w:val="0070C0"/>
                <w:szCs w:val="20"/>
              </w:rPr>
              <w:t xml:space="preserve">The DT sees no language suggesting that the ERO must be consulted to determine into which category a task may fall. This does not negate the value of a TO/ERO discourse; rather, it merely points out that the TO can perform its task without ERO interaction as a condition precedent. </w:t>
            </w:r>
          </w:p>
          <w:p w14:paraId="5B7D6DEC" w14:textId="77777777" w:rsidR="00943E3E" w:rsidRPr="00D8761C" w:rsidRDefault="00943E3E" w:rsidP="00610493">
            <w:pPr>
              <w:spacing w:after="120"/>
              <w:rPr>
                <w:b w:val="0"/>
                <w:bCs w:val="0"/>
                <w:color w:val="0070C0"/>
                <w:szCs w:val="20"/>
              </w:rPr>
            </w:pPr>
          </w:p>
          <w:p w14:paraId="051C5DD2" w14:textId="77777777" w:rsidR="00D8761C" w:rsidRPr="00D8761C" w:rsidRDefault="00D8761C" w:rsidP="00610493">
            <w:pPr>
              <w:spacing w:after="120"/>
              <w:rPr>
                <w:b w:val="0"/>
                <w:bCs w:val="0"/>
                <w:i/>
                <w:color w:val="0070C0"/>
                <w:szCs w:val="20"/>
              </w:rPr>
            </w:pPr>
            <w:r w:rsidRPr="00D8761C">
              <w:rPr>
                <w:b w:val="0"/>
                <w:bCs w:val="0"/>
                <w:i/>
                <w:color w:val="0070C0"/>
                <w:szCs w:val="20"/>
              </w:rPr>
              <w:t>OEM Subsumed / Combine the Categories</w:t>
            </w:r>
          </w:p>
          <w:p w14:paraId="2C47F464" w14:textId="663D23A4" w:rsidR="00D8761C" w:rsidRPr="00D8761C" w:rsidRDefault="00D8761C" w:rsidP="00610493">
            <w:pPr>
              <w:spacing w:after="120"/>
              <w:rPr>
                <w:b w:val="0"/>
                <w:bCs w:val="0"/>
                <w:color w:val="0070C0"/>
                <w:szCs w:val="20"/>
              </w:rPr>
            </w:pPr>
            <w:r w:rsidRPr="00D8761C">
              <w:rPr>
                <w:b w:val="0"/>
                <w:bCs w:val="0"/>
                <w:color w:val="0070C0"/>
                <w:szCs w:val="20"/>
              </w:rPr>
              <w:t>S</w:t>
            </w:r>
            <w:r w:rsidR="00943E3E">
              <w:rPr>
                <w:b w:val="0"/>
                <w:bCs w:val="0"/>
                <w:color w:val="0070C0"/>
                <w:szCs w:val="20"/>
              </w:rPr>
              <w:t>C</w:t>
            </w:r>
            <w:r w:rsidRPr="00D8761C">
              <w:rPr>
                <w:b w:val="0"/>
                <w:bCs w:val="0"/>
                <w:color w:val="0070C0"/>
                <w:szCs w:val="20"/>
              </w:rPr>
              <w:t>PUD argues that OEM should be subsumed into “time-based.” To reiterate, this question was discussed in open forum in Postings 1-3 during which S</w:t>
            </w:r>
            <w:r w:rsidR="00943E3E">
              <w:rPr>
                <w:b w:val="0"/>
                <w:bCs w:val="0"/>
                <w:color w:val="0070C0"/>
                <w:szCs w:val="20"/>
              </w:rPr>
              <w:t>C</w:t>
            </w:r>
            <w:r w:rsidRPr="00D8761C">
              <w:rPr>
                <w:b w:val="0"/>
                <w:bCs w:val="0"/>
                <w:color w:val="0070C0"/>
                <w:szCs w:val="20"/>
              </w:rPr>
              <w:t xml:space="preserve">PUD did not provide comments. </w:t>
            </w:r>
          </w:p>
          <w:p w14:paraId="5F777585" w14:textId="528D36B3" w:rsidR="00D8761C" w:rsidRPr="00D8761C" w:rsidRDefault="00D8761C" w:rsidP="00610493">
            <w:pPr>
              <w:spacing w:after="120"/>
              <w:rPr>
                <w:b w:val="0"/>
                <w:bCs w:val="0"/>
                <w:color w:val="0070C0"/>
                <w:szCs w:val="20"/>
              </w:rPr>
            </w:pPr>
            <w:r w:rsidRPr="00D8761C">
              <w:rPr>
                <w:b w:val="0"/>
                <w:bCs w:val="0"/>
                <w:color w:val="0070C0"/>
                <w:szCs w:val="20"/>
              </w:rPr>
              <w:t>Arguably, a manufacturer could specify that maintenance be performed each 12 months – nothing more. That would be time-based but, because the manufacturer specified it in its OEM recommendations, that same specification could also be classified as OEM. S</w:t>
            </w:r>
            <w:r w:rsidR="00943E3E">
              <w:rPr>
                <w:b w:val="0"/>
                <w:bCs w:val="0"/>
                <w:color w:val="0070C0"/>
                <w:szCs w:val="20"/>
              </w:rPr>
              <w:t>C</w:t>
            </w:r>
            <w:r w:rsidRPr="00D8761C">
              <w:rPr>
                <w:b w:val="0"/>
                <w:bCs w:val="0"/>
                <w:color w:val="0070C0"/>
                <w:szCs w:val="20"/>
              </w:rPr>
              <w:t xml:space="preserve">PUD sees this as a fatal flaw to be eliminated by subsuming OEM into time-based. </w:t>
            </w:r>
          </w:p>
          <w:p w14:paraId="387B1135" w14:textId="527D7915" w:rsidR="00943E3E" w:rsidRDefault="00D8761C" w:rsidP="00610493">
            <w:pPr>
              <w:spacing w:after="120"/>
              <w:rPr>
                <w:color w:val="0070C0"/>
                <w:szCs w:val="20"/>
              </w:rPr>
            </w:pPr>
            <w:r w:rsidRPr="00D8761C">
              <w:rPr>
                <w:b w:val="0"/>
                <w:bCs w:val="0"/>
                <w:color w:val="0070C0"/>
                <w:szCs w:val="20"/>
              </w:rPr>
              <w:t xml:space="preserve">First, </w:t>
            </w:r>
            <w:r w:rsidR="00943E3E">
              <w:rPr>
                <w:b w:val="0"/>
                <w:bCs w:val="0"/>
                <w:color w:val="0070C0"/>
                <w:szCs w:val="20"/>
              </w:rPr>
              <w:t xml:space="preserve">for example, </w:t>
            </w:r>
            <w:r w:rsidRPr="00D8761C">
              <w:rPr>
                <w:b w:val="0"/>
                <w:bCs w:val="0"/>
                <w:color w:val="0070C0"/>
                <w:szCs w:val="20"/>
              </w:rPr>
              <w:t>an Original Equipment Manufacturer (OEM) might alternatively specify maintenance:</w:t>
            </w:r>
          </w:p>
          <w:p w14:paraId="7D39F5EB" w14:textId="77777777" w:rsidR="00943E3E" w:rsidRDefault="00D8761C" w:rsidP="00610493">
            <w:pPr>
              <w:spacing w:after="120"/>
              <w:rPr>
                <w:color w:val="0070C0"/>
                <w:szCs w:val="20"/>
              </w:rPr>
            </w:pPr>
            <w:r w:rsidRPr="00D8761C">
              <w:rPr>
                <w:b w:val="0"/>
                <w:bCs w:val="0"/>
                <w:color w:val="0070C0"/>
                <w:szCs w:val="20"/>
              </w:rPr>
              <w:t xml:space="preserve">1) </w:t>
            </w:r>
            <w:r w:rsidR="00943E3E">
              <w:rPr>
                <w:b w:val="0"/>
                <w:bCs w:val="0"/>
                <w:color w:val="0070C0"/>
                <w:szCs w:val="20"/>
              </w:rPr>
              <w:t>W</w:t>
            </w:r>
            <w:r w:rsidRPr="00D8761C">
              <w:rPr>
                <w:b w:val="0"/>
                <w:bCs w:val="0"/>
                <w:color w:val="0070C0"/>
                <w:szCs w:val="20"/>
              </w:rPr>
              <w:t>hen equipment meets a physical state of decay or damage,</w:t>
            </w:r>
          </w:p>
          <w:p w14:paraId="5A4FB29B" w14:textId="77777777" w:rsidR="00943E3E" w:rsidRDefault="00D8761C" w:rsidP="00610493">
            <w:pPr>
              <w:spacing w:after="120"/>
              <w:rPr>
                <w:color w:val="0070C0"/>
                <w:szCs w:val="20"/>
              </w:rPr>
            </w:pPr>
            <w:r w:rsidRPr="00D8761C">
              <w:rPr>
                <w:b w:val="0"/>
                <w:bCs w:val="0"/>
                <w:color w:val="0070C0"/>
                <w:szCs w:val="20"/>
              </w:rPr>
              <w:t xml:space="preserve">2) </w:t>
            </w:r>
            <w:r w:rsidR="00943E3E">
              <w:rPr>
                <w:b w:val="0"/>
                <w:bCs w:val="0"/>
                <w:color w:val="0070C0"/>
                <w:szCs w:val="20"/>
              </w:rPr>
              <w:t>W</w:t>
            </w:r>
            <w:r w:rsidRPr="00D8761C">
              <w:rPr>
                <w:b w:val="0"/>
                <w:bCs w:val="0"/>
                <w:color w:val="0070C0"/>
                <w:szCs w:val="20"/>
              </w:rPr>
              <w:t>hen a change in replacement parts is specified,</w:t>
            </w:r>
          </w:p>
          <w:p w14:paraId="75620711" w14:textId="77777777" w:rsidR="00943E3E" w:rsidRDefault="00D8761C" w:rsidP="00610493">
            <w:pPr>
              <w:spacing w:after="120"/>
              <w:rPr>
                <w:color w:val="0070C0"/>
                <w:szCs w:val="20"/>
              </w:rPr>
            </w:pPr>
            <w:r w:rsidRPr="00D8761C">
              <w:rPr>
                <w:b w:val="0"/>
                <w:bCs w:val="0"/>
                <w:color w:val="0070C0"/>
                <w:szCs w:val="20"/>
              </w:rPr>
              <w:t xml:space="preserve">3) </w:t>
            </w:r>
            <w:r w:rsidR="00943E3E">
              <w:rPr>
                <w:b w:val="0"/>
                <w:bCs w:val="0"/>
                <w:color w:val="0070C0"/>
                <w:szCs w:val="20"/>
              </w:rPr>
              <w:t>W</w:t>
            </w:r>
            <w:r w:rsidRPr="00D8761C">
              <w:rPr>
                <w:b w:val="0"/>
                <w:bCs w:val="0"/>
                <w:color w:val="0070C0"/>
                <w:szCs w:val="20"/>
              </w:rPr>
              <w:t>hen supply chains change, or</w:t>
            </w:r>
          </w:p>
          <w:p w14:paraId="13F7120E" w14:textId="77777777" w:rsidR="00943E3E" w:rsidRDefault="00D8761C" w:rsidP="00610493">
            <w:pPr>
              <w:spacing w:after="120"/>
              <w:rPr>
                <w:color w:val="0070C0"/>
                <w:szCs w:val="20"/>
              </w:rPr>
            </w:pPr>
            <w:r w:rsidRPr="00D8761C">
              <w:rPr>
                <w:b w:val="0"/>
                <w:bCs w:val="0"/>
                <w:color w:val="0070C0"/>
                <w:szCs w:val="20"/>
              </w:rPr>
              <w:t xml:space="preserve">4) </w:t>
            </w:r>
            <w:r w:rsidR="00943E3E">
              <w:rPr>
                <w:b w:val="0"/>
                <w:bCs w:val="0"/>
                <w:color w:val="0070C0"/>
                <w:szCs w:val="20"/>
              </w:rPr>
              <w:t>S</w:t>
            </w:r>
            <w:r w:rsidRPr="00D8761C">
              <w:rPr>
                <w:b w:val="0"/>
                <w:bCs w:val="0"/>
                <w:color w:val="0070C0"/>
                <w:szCs w:val="20"/>
              </w:rPr>
              <w:t>imply</w:t>
            </w:r>
            <w:r w:rsidR="00943E3E">
              <w:rPr>
                <w:b w:val="0"/>
                <w:bCs w:val="0"/>
                <w:color w:val="0070C0"/>
                <w:szCs w:val="20"/>
              </w:rPr>
              <w:t xml:space="preserve">, </w:t>
            </w:r>
            <w:r w:rsidRPr="00D8761C">
              <w:rPr>
                <w:b w:val="0"/>
                <w:bCs w:val="0"/>
                <w:color w:val="0070C0"/>
                <w:szCs w:val="20"/>
              </w:rPr>
              <w:t xml:space="preserve">when a part is known to prematurely fail and perhaps the manufacturer deems recall a necessity. </w:t>
            </w:r>
          </w:p>
          <w:p w14:paraId="04E45D51" w14:textId="02550D97" w:rsidR="00D8761C" w:rsidRPr="00D8761C" w:rsidRDefault="00D8761C" w:rsidP="00610493">
            <w:pPr>
              <w:spacing w:after="120"/>
              <w:rPr>
                <w:b w:val="0"/>
                <w:bCs w:val="0"/>
                <w:color w:val="0070C0"/>
                <w:szCs w:val="20"/>
              </w:rPr>
            </w:pPr>
            <w:r w:rsidRPr="00D8761C">
              <w:rPr>
                <w:b w:val="0"/>
                <w:bCs w:val="0"/>
                <w:color w:val="0070C0"/>
                <w:szCs w:val="20"/>
              </w:rPr>
              <w:t xml:space="preserve">These specifications are not time-based; they are OEM. As such, there is a definite space for OEM not occupied by time-based. Even if a task could arguably fall into more than one method, it is the applicable entity conducting the task that determines which method it will follow. </w:t>
            </w:r>
          </w:p>
          <w:p w14:paraId="13E1EEAE" w14:textId="77777777" w:rsidR="00943E3E" w:rsidRDefault="00D8761C" w:rsidP="00610493">
            <w:pPr>
              <w:spacing w:after="120"/>
              <w:rPr>
                <w:color w:val="0070C0"/>
                <w:szCs w:val="20"/>
              </w:rPr>
            </w:pPr>
            <w:r w:rsidRPr="00D8761C">
              <w:rPr>
                <w:b w:val="0"/>
                <w:bCs w:val="0"/>
                <w:color w:val="0070C0"/>
                <w:szCs w:val="20"/>
              </w:rPr>
              <w:t>If the DT understands correctly, S</w:t>
            </w:r>
            <w:r w:rsidR="00943E3E">
              <w:rPr>
                <w:b w:val="0"/>
                <w:bCs w:val="0"/>
                <w:color w:val="0070C0"/>
                <w:szCs w:val="20"/>
              </w:rPr>
              <w:t>C</w:t>
            </w:r>
            <w:r w:rsidRPr="00D8761C">
              <w:rPr>
                <w:b w:val="0"/>
                <w:bCs w:val="0"/>
                <w:color w:val="0070C0"/>
                <w:szCs w:val="20"/>
              </w:rPr>
              <w:t>PUD would condense the TMIP methods into fewer categories as a means to simplify implementation. If correct, S</w:t>
            </w:r>
            <w:r w:rsidR="00943E3E">
              <w:rPr>
                <w:b w:val="0"/>
                <w:bCs w:val="0"/>
                <w:color w:val="0070C0"/>
                <w:szCs w:val="20"/>
              </w:rPr>
              <w:t>C</w:t>
            </w:r>
            <w:r w:rsidRPr="00D8761C">
              <w:rPr>
                <w:b w:val="0"/>
                <w:bCs w:val="0"/>
                <w:color w:val="0070C0"/>
                <w:szCs w:val="20"/>
              </w:rPr>
              <w:t xml:space="preserve">PUD’s suggestion would combine the proposed five categories into two: </w:t>
            </w:r>
            <w:r w:rsidR="00943E3E">
              <w:rPr>
                <w:b w:val="0"/>
                <w:bCs w:val="0"/>
                <w:color w:val="0070C0"/>
                <w:szCs w:val="20"/>
              </w:rPr>
              <w:t xml:space="preserve">1) </w:t>
            </w:r>
            <w:r w:rsidRPr="00D8761C">
              <w:rPr>
                <w:b w:val="0"/>
                <w:bCs w:val="0"/>
                <w:color w:val="0070C0"/>
                <w:szCs w:val="20"/>
              </w:rPr>
              <w:t>condition-based</w:t>
            </w:r>
            <w:r w:rsidR="00943E3E">
              <w:rPr>
                <w:b w:val="0"/>
                <w:bCs w:val="0"/>
                <w:color w:val="0070C0"/>
                <w:szCs w:val="20"/>
              </w:rPr>
              <w:t xml:space="preserve">, </w:t>
            </w:r>
            <w:r w:rsidRPr="00D8761C">
              <w:rPr>
                <w:b w:val="0"/>
                <w:bCs w:val="0"/>
                <w:color w:val="0070C0"/>
                <w:szCs w:val="20"/>
              </w:rPr>
              <w:t xml:space="preserve">and </w:t>
            </w:r>
            <w:r w:rsidR="00943E3E">
              <w:rPr>
                <w:b w:val="0"/>
                <w:bCs w:val="0"/>
                <w:color w:val="0070C0"/>
                <w:szCs w:val="20"/>
              </w:rPr>
              <w:t xml:space="preserve">2) </w:t>
            </w:r>
            <w:r w:rsidRPr="00D8761C">
              <w:rPr>
                <w:b w:val="0"/>
                <w:bCs w:val="0"/>
                <w:color w:val="0070C0"/>
                <w:szCs w:val="20"/>
              </w:rPr>
              <w:t>time-based, thereby deleting the as-approved category of performance-based.</w:t>
            </w:r>
          </w:p>
          <w:p w14:paraId="47DC926A" w14:textId="5D8E3FC2" w:rsidR="00D8761C" w:rsidRPr="00D8761C" w:rsidRDefault="00D8761C" w:rsidP="00610493">
            <w:pPr>
              <w:spacing w:after="120"/>
              <w:rPr>
                <w:b w:val="0"/>
                <w:bCs w:val="0"/>
                <w:color w:val="0070C0"/>
                <w:szCs w:val="20"/>
              </w:rPr>
            </w:pPr>
            <w:r w:rsidRPr="00D8761C">
              <w:rPr>
                <w:b w:val="0"/>
                <w:bCs w:val="0"/>
                <w:color w:val="0070C0"/>
                <w:szCs w:val="20"/>
              </w:rPr>
              <w:t xml:space="preserve">For the sake of argument, if all proposed categories were rolled into a single category yet retained all of the proposed elements as subsets – the result would be the same. Restated, the number and titles of the categories are irrelevant. It is the content of the category that is relevant. </w:t>
            </w:r>
          </w:p>
          <w:p w14:paraId="73E9C9DE" w14:textId="3530D84F" w:rsidR="00D8761C" w:rsidRPr="00D8761C" w:rsidRDefault="00D8761C" w:rsidP="00610493">
            <w:pPr>
              <w:spacing w:after="120"/>
              <w:rPr>
                <w:b w:val="0"/>
                <w:bCs w:val="0"/>
                <w:color w:val="0070C0"/>
                <w:szCs w:val="20"/>
              </w:rPr>
            </w:pPr>
            <w:r w:rsidRPr="00D8761C">
              <w:rPr>
                <w:b w:val="0"/>
                <w:bCs w:val="0"/>
                <w:color w:val="0070C0"/>
                <w:szCs w:val="20"/>
              </w:rPr>
              <w:t>Contrasting S</w:t>
            </w:r>
            <w:r w:rsidR="00943E3E">
              <w:rPr>
                <w:b w:val="0"/>
                <w:bCs w:val="0"/>
                <w:color w:val="0070C0"/>
                <w:szCs w:val="20"/>
              </w:rPr>
              <w:t>C</w:t>
            </w:r>
            <w:r w:rsidRPr="00D8761C">
              <w:rPr>
                <w:b w:val="0"/>
                <w:bCs w:val="0"/>
                <w:color w:val="0070C0"/>
                <w:szCs w:val="20"/>
              </w:rPr>
              <w:t xml:space="preserve">PUD’s concern, the expansion of categories proposed for Attachment A allows each applicable entity to choose and implement a maintenance plan best suited to align with the realities of its equipment, uses, and system-specific challenges that may not be a solid fit for any of the as-approved approaches. </w:t>
            </w:r>
          </w:p>
          <w:p w14:paraId="6AF22FEC" w14:textId="77777777" w:rsidR="00D8761C" w:rsidRPr="00D8761C" w:rsidRDefault="00D8761C" w:rsidP="00610493">
            <w:pPr>
              <w:spacing w:after="120"/>
              <w:rPr>
                <w:b w:val="0"/>
                <w:bCs w:val="0"/>
                <w:color w:val="0070C0"/>
                <w:szCs w:val="20"/>
              </w:rPr>
            </w:pPr>
            <w:r w:rsidRPr="00D8761C">
              <w:rPr>
                <w:b w:val="0"/>
                <w:bCs w:val="0"/>
                <w:i/>
                <w:color w:val="0070C0"/>
                <w:szCs w:val="20"/>
              </w:rPr>
              <w:t>Interpretation</w:t>
            </w:r>
          </w:p>
          <w:p w14:paraId="68256EB0" w14:textId="39A12884" w:rsidR="00D8761C" w:rsidRPr="00D8761C" w:rsidRDefault="00D8761C" w:rsidP="00610493">
            <w:pPr>
              <w:spacing w:after="120"/>
              <w:rPr>
                <w:b w:val="0"/>
                <w:bCs w:val="0"/>
                <w:color w:val="0070C0"/>
                <w:szCs w:val="20"/>
              </w:rPr>
            </w:pPr>
            <w:r w:rsidRPr="00D8761C">
              <w:rPr>
                <w:b w:val="0"/>
                <w:bCs w:val="0"/>
                <w:color w:val="0070C0"/>
                <w:szCs w:val="20"/>
              </w:rPr>
              <w:t>If the DT reads S</w:t>
            </w:r>
            <w:r w:rsidR="00943E3E">
              <w:rPr>
                <w:b w:val="0"/>
                <w:bCs w:val="0"/>
                <w:color w:val="0070C0"/>
                <w:szCs w:val="20"/>
              </w:rPr>
              <w:t>C</w:t>
            </w:r>
            <w:r w:rsidRPr="00D8761C">
              <w:rPr>
                <w:b w:val="0"/>
                <w:bCs w:val="0"/>
                <w:color w:val="0070C0"/>
                <w:szCs w:val="20"/>
              </w:rPr>
              <w:t>PUD’s comment correctly regarding “[a]s it applies to Section C, M3 1.2,” S</w:t>
            </w:r>
            <w:r w:rsidR="00943E3E">
              <w:rPr>
                <w:b w:val="0"/>
                <w:bCs w:val="0"/>
                <w:color w:val="0070C0"/>
                <w:szCs w:val="20"/>
              </w:rPr>
              <w:t>C</w:t>
            </w:r>
            <w:r w:rsidRPr="00D8761C">
              <w:rPr>
                <w:b w:val="0"/>
                <w:bCs w:val="0"/>
                <w:color w:val="0070C0"/>
                <w:szCs w:val="20"/>
              </w:rPr>
              <w:t>PUD suggests M3 1.2 may need further interpretation. If that is correct, an interpretation process is available to S</w:t>
            </w:r>
            <w:r w:rsidR="00943E3E">
              <w:rPr>
                <w:b w:val="0"/>
                <w:bCs w:val="0"/>
                <w:color w:val="0070C0"/>
                <w:szCs w:val="20"/>
              </w:rPr>
              <w:t>C</w:t>
            </w:r>
            <w:r w:rsidRPr="00D8761C">
              <w:rPr>
                <w:b w:val="0"/>
                <w:bCs w:val="0"/>
                <w:color w:val="0070C0"/>
                <w:szCs w:val="20"/>
              </w:rPr>
              <w:t>PUD. Interpretation is outside of the scope of this project.</w:t>
            </w:r>
          </w:p>
        </w:tc>
      </w:tr>
    </w:tbl>
    <w:p w14:paraId="466DE076" w14:textId="77777777" w:rsidR="00D8761C" w:rsidRDefault="00D8761C" w:rsidP="00D8761C">
      <w:pPr>
        <w:rPr>
          <w:sz w:val="20"/>
          <w:szCs w:val="20"/>
        </w:rPr>
      </w:pPr>
    </w:p>
    <w:p w14:paraId="0048F419" w14:textId="77777777" w:rsidR="00D8761C" w:rsidRDefault="00D8761C" w:rsidP="00D8761C">
      <w:pPr>
        <w:rPr>
          <w:sz w:val="20"/>
          <w:szCs w:val="20"/>
        </w:rPr>
      </w:pPr>
      <w:r>
        <w:rPr>
          <w:sz w:val="20"/>
          <w:szCs w:val="20"/>
        </w:rPr>
        <w:br w:type="page"/>
      </w:r>
    </w:p>
    <w:tbl>
      <w:tblPr>
        <w:tblStyle w:val="WECCTableStyle1"/>
        <w:tblW w:w="0" w:type="auto"/>
        <w:tblLook w:val="04A0" w:firstRow="1" w:lastRow="0" w:firstColumn="1" w:lastColumn="0" w:noHBand="0" w:noVBand="1"/>
      </w:tblPr>
      <w:tblGrid>
        <w:gridCol w:w="10070"/>
      </w:tblGrid>
      <w:tr w:rsidR="00943E3E" w:rsidRPr="00943E3E" w14:paraId="0C4288BE" w14:textId="77777777" w:rsidTr="00943E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shd w:val="clear" w:color="auto" w:fill="auto"/>
            <w:tcMar>
              <w:top w:w="43" w:type="dxa"/>
              <w:left w:w="115" w:type="dxa"/>
              <w:bottom w:w="43" w:type="dxa"/>
              <w:right w:w="115" w:type="dxa"/>
            </w:tcMar>
          </w:tcPr>
          <w:p w14:paraId="09C925C6" w14:textId="77777777" w:rsidR="00D8761C" w:rsidRPr="00943E3E" w:rsidRDefault="00D8761C" w:rsidP="00610493">
            <w:pPr>
              <w:rPr>
                <w:rFonts w:asciiTheme="majorHAnsi" w:hAnsiTheme="majorHAnsi"/>
                <w:color w:val="auto"/>
                <w:szCs w:val="20"/>
              </w:rPr>
            </w:pPr>
            <w:r w:rsidRPr="00943E3E">
              <w:rPr>
                <w:rFonts w:asciiTheme="majorHAnsi" w:hAnsiTheme="majorHAnsi"/>
                <w:color w:val="auto"/>
                <w:szCs w:val="20"/>
              </w:rPr>
              <w:t xml:space="preserve">Comment Summary. For proposed changes and avenues forward, please see the summary above. </w:t>
            </w:r>
          </w:p>
          <w:p w14:paraId="04BAC360" w14:textId="77777777" w:rsidR="00D8761C" w:rsidRPr="00943E3E" w:rsidRDefault="00D8761C" w:rsidP="00610493">
            <w:pPr>
              <w:rPr>
                <w:rFonts w:asciiTheme="majorHAnsi" w:hAnsiTheme="majorHAnsi"/>
                <w:color w:val="auto"/>
                <w:szCs w:val="20"/>
              </w:rPr>
            </w:pPr>
          </w:p>
          <w:p w14:paraId="0BE5DC56" w14:textId="77777777" w:rsidR="00D8761C" w:rsidRPr="00943E3E" w:rsidRDefault="00D8761C" w:rsidP="00610493">
            <w:pPr>
              <w:rPr>
                <w:b w:val="0"/>
                <w:bCs w:val="0"/>
                <w:color w:val="auto"/>
                <w:szCs w:val="20"/>
              </w:rPr>
            </w:pPr>
            <w:r w:rsidRPr="00943E3E">
              <w:rPr>
                <w:rFonts w:asciiTheme="majorHAnsi" w:hAnsiTheme="majorHAnsi"/>
                <w:i/>
                <w:iCs/>
                <w:color w:val="auto"/>
                <w:szCs w:val="20"/>
              </w:rPr>
              <w:t>Question 5</w:t>
            </w:r>
            <w:r w:rsidRPr="00943E3E">
              <w:rPr>
                <w:rFonts w:asciiTheme="majorHAnsi" w:hAnsiTheme="majorHAnsi"/>
                <w:color w:val="auto"/>
                <w:szCs w:val="20"/>
              </w:rPr>
              <w:t xml:space="preserve"> - Does the proposed Regional Reliability Standard meet at least one of the following criteria? (See questions above for more detail.)</w:t>
            </w:r>
            <w:r w:rsidRPr="00943E3E">
              <w:rPr>
                <w:color w:val="auto"/>
                <w:szCs w:val="20"/>
              </w:rPr>
              <w:t xml:space="preserve"> </w:t>
            </w:r>
          </w:p>
        </w:tc>
      </w:tr>
    </w:tbl>
    <w:tbl>
      <w:tblPr>
        <w:tblStyle w:val="WECCTable"/>
        <w:tblW w:w="10075" w:type="dxa"/>
        <w:tblLook w:val="04A0" w:firstRow="1" w:lastRow="0" w:firstColumn="1" w:lastColumn="0" w:noHBand="0" w:noVBand="1"/>
      </w:tblPr>
      <w:tblGrid>
        <w:gridCol w:w="4045"/>
        <w:gridCol w:w="6030"/>
      </w:tblGrid>
      <w:tr w:rsidR="00943E3E" w14:paraId="050DA2F0"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4BE5C236" w14:textId="77777777" w:rsidR="00943E3E" w:rsidRDefault="00943E3E" w:rsidP="00610493">
            <w:r>
              <w:t>Commenter</w:t>
            </w:r>
          </w:p>
        </w:tc>
        <w:tc>
          <w:tcPr>
            <w:tcW w:w="6030" w:type="dxa"/>
          </w:tcPr>
          <w:p w14:paraId="48587858" w14:textId="77777777" w:rsidR="00943E3E" w:rsidRDefault="00943E3E"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1"/>
        <w:tblW w:w="0" w:type="auto"/>
        <w:tblLook w:val="04A0" w:firstRow="1" w:lastRow="0" w:firstColumn="1" w:lastColumn="0" w:noHBand="0" w:noVBand="1"/>
      </w:tblPr>
      <w:tblGrid>
        <w:gridCol w:w="4045"/>
        <w:gridCol w:w="6025"/>
      </w:tblGrid>
      <w:tr w:rsidR="00943E3E" w:rsidRPr="00943E3E" w14:paraId="7E3C8B7B" w14:textId="77777777" w:rsidTr="00943E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0CFBE90F" w14:textId="77777777" w:rsidR="00D8761C" w:rsidRPr="00943E3E" w:rsidRDefault="00D8761C" w:rsidP="00610493">
            <w:pPr>
              <w:spacing w:after="120"/>
              <w:rPr>
                <w:b w:val="0"/>
                <w:bCs w:val="0"/>
                <w:color w:val="auto"/>
                <w:szCs w:val="20"/>
              </w:rPr>
            </w:pPr>
            <w:r w:rsidRPr="00943E3E">
              <w:rPr>
                <w:b w:val="0"/>
                <w:bCs w:val="0"/>
                <w:color w:val="auto"/>
                <w:szCs w:val="20"/>
              </w:rPr>
              <w:t xml:space="preserve">All respondents including SPUD. </w:t>
            </w:r>
          </w:p>
        </w:tc>
        <w:tc>
          <w:tcPr>
            <w:tcW w:w="6025" w:type="dxa"/>
            <w:tcBorders>
              <w:bottom w:val="single" w:sz="2" w:space="0" w:color="auto"/>
            </w:tcBorders>
            <w:shd w:val="clear" w:color="auto" w:fill="auto"/>
            <w:tcMar>
              <w:top w:w="43" w:type="dxa"/>
              <w:left w:w="115" w:type="dxa"/>
              <w:bottom w:w="43" w:type="dxa"/>
              <w:right w:w="115" w:type="dxa"/>
            </w:tcMar>
          </w:tcPr>
          <w:p w14:paraId="37289215" w14:textId="77777777" w:rsidR="00D8761C" w:rsidRPr="00943E3E" w:rsidRDefault="00D8761C" w:rsidP="00610493">
            <w:pPr>
              <w:spacing w:after="120"/>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943E3E">
              <w:rPr>
                <w:b w:val="0"/>
                <w:bCs w:val="0"/>
                <w:color w:val="auto"/>
                <w:szCs w:val="20"/>
              </w:rPr>
              <w:t>All respondents agreed the project met at least one of the NERC-mandated reliability criteria.</w:t>
            </w:r>
          </w:p>
          <w:p w14:paraId="2A78FADC" w14:textId="77777777" w:rsidR="00D8761C" w:rsidRPr="00943E3E" w:rsidRDefault="00D8761C" w:rsidP="00610493">
            <w:pPr>
              <w:spacing w:after="120"/>
              <w:cnfStyle w:val="100000000000" w:firstRow="1" w:lastRow="0" w:firstColumn="0" w:lastColumn="0" w:oddVBand="0" w:evenVBand="0" w:oddHBand="0" w:evenHBand="0" w:firstRowFirstColumn="0" w:firstRowLastColumn="0" w:lastRowFirstColumn="0" w:lastRowLastColumn="0"/>
              <w:rPr>
                <w:b w:val="0"/>
                <w:bCs w:val="0"/>
                <w:color w:val="auto"/>
                <w:szCs w:val="20"/>
              </w:rPr>
            </w:pPr>
            <w:r w:rsidRPr="00943E3E">
              <w:rPr>
                <w:b w:val="0"/>
                <w:bCs w:val="0"/>
                <w:color w:val="auto"/>
                <w:szCs w:val="20"/>
              </w:rPr>
              <w:t>HQ as Generator Operator/Generator Owner at the Northeast Power Coordinating Council had no comment.</w:t>
            </w:r>
          </w:p>
        </w:tc>
      </w:tr>
    </w:tbl>
    <w:tbl>
      <w:tblPr>
        <w:tblStyle w:val="WECCTable"/>
        <w:tblW w:w="10075" w:type="dxa"/>
        <w:tblLook w:val="04A0" w:firstRow="1" w:lastRow="0" w:firstColumn="1" w:lastColumn="0" w:noHBand="0" w:noVBand="1"/>
      </w:tblPr>
      <w:tblGrid>
        <w:gridCol w:w="4045"/>
        <w:gridCol w:w="6030"/>
      </w:tblGrid>
      <w:tr w:rsidR="00943E3E" w14:paraId="2487AC90"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4ECEBB4F" w14:textId="77777777" w:rsidR="00943E3E" w:rsidRDefault="00943E3E" w:rsidP="00610493">
            <w:r>
              <w:t>Response</w:t>
            </w:r>
          </w:p>
        </w:tc>
        <w:tc>
          <w:tcPr>
            <w:tcW w:w="6030" w:type="dxa"/>
          </w:tcPr>
          <w:p w14:paraId="6BF4AC6C" w14:textId="77777777" w:rsidR="00943E3E" w:rsidRDefault="00943E3E"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1"/>
        <w:tblW w:w="0" w:type="auto"/>
        <w:tblLook w:val="04A0" w:firstRow="1" w:lastRow="0" w:firstColumn="1" w:lastColumn="0" w:noHBand="0" w:noVBand="1"/>
      </w:tblPr>
      <w:tblGrid>
        <w:gridCol w:w="10070"/>
      </w:tblGrid>
      <w:tr w:rsidR="00D8761C" w:rsidRPr="00151FB6" w14:paraId="309895FF" w14:textId="77777777" w:rsidTr="00943E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1E760488" w14:textId="77777777" w:rsidR="00D8761C" w:rsidRPr="0057168A" w:rsidRDefault="00D8761C" w:rsidP="00610493">
            <w:pPr>
              <w:spacing w:after="120"/>
              <w:rPr>
                <w:bCs w:val="0"/>
                <w:color w:val="0070C0"/>
                <w:szCs w:val="20"/>
              </w:rPr>
            </w:pPr>
            <w:r w:rsidRPr="0057168A">
              <w:rPr>
                <w:color w:val="0070C0"/>
                <w:szCs w:val="20"/>
              </w:rPr>
              <w:t xml:space="preserve">The WECC-0141 drafting team (DT) appreciates time and talents of all those participating. </w:t>
            </w:r>
          </w:p>
        </w:tc>
      </w:tr>
    </w:tbl>
    <w:tbl>
      <w:tblPr>
        <w:tblStyle w:val="WECCTable"/>
        <w:tblW w:w="10075" w:type="dxa"/>
        <w:tblLook w:val="04A0" w:firstRow="1" w:lastRow="0" w:firstColumn="1" w:lastColumn="0" w:noHBand="0" w:noVBand="1"/>
      </w:tblPr>
      <w:tblGrid>
        <w:gridCol w:w="4045"/>
        <w:gridCol w:w="6030"/>
      </w:tblGrid>
      <w:tr w:rsidR="00943E3E" w14:paraId="58F0CFAF"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773071EE" w14:textId="77777777" w:rsidR="00943E3E" w:rsidRDefault="00943E3E" w:rsidP="00610493">
            <w:r>
              <w:t>Commenter</w:t>
            </w:r>
          </w:p>
        </w:tc>
        <w:tc>
          <w:tcPr>
            <w:tcW w:w="6030" w:type="dxa"/>
          </w:tcPr>
          <w:p w14:paraId="188F9FC4" w14:textId="77777777" w:rsidR="00943E3E" w:rsidRDefault="00943E3E" w:rsidP="00610493">
            <w:pPr>
              <w:cnfStyle w:val="100000000000" w:firstRow="1" w:lastRow="0" w:firstColumn="0" w:lastColumn="0" w:oddVBand="0" w:evenVBand="0" w:oddHBand="0" w:evenHBand="0" w:firstRowFirstColumn="0" w:firstRowLastColumn="0" w:lastRowFirstColumn="0" w:lastRowLastColumn="0"/>
            </w:pPr>
            <w:r>
              <w:t>Comment</w:t>
            </w:r>
          </w:p>
        </w:tc>
      </w:tr>
    </w:tbl>
    <w:tbl>
      <w:tblPr>
        <w:tblStyle w:val="WECCTableStyle1"/>
        <w:tblW w:w="0" w:type="auto"/>
        <w:tblLook w:val="04A0" w:firstRow="1" w:lastRow="0" w:firstColumn="1" w:lastColumn="0" w:noHBand="0" w:noVBand="1"/>
      </w:tblPr>
      <w:tblGrid>
        <w:gridCol w:w="4045"/>
        <w:gridCol w:w="6025"/>
      </w:tblGrid>
      <w:tr w:rsidR="00943E3E" w:rsidRPr="00943E3E" w14:paraId="3BD10B12" w14:textId="77777777" w:rsidTr="00943E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4045" w:type="dxa"/>
            <w:tcBorders>
              <w:bottom w:val="single" w:sz="2" w:space="0" w:color="auto"/>
            </w:tcBorders>
            <w:shd w:val="clear" w:color="auto" w:fill="auto"/>
            <w:tcMar>
              <w:top w:w="43" w:type="dxa"/>
              <w:left w:w="115" w:type="dxa"/>
              <w:bottom w:w="43" w:type="dxa"/>
              <w:right w:w="115" w:type="dxa"/>
            </w:tcMar>
          </w:tcPr>
          <w:p w14:paraId="712236C7" w14:textId="19169414" w:rsidR="00D8761C" w:rsidRPr="00943E3E" w:rsidRDefault="00D8761C" w:rsidP="00610493">
            <w:pPr>
              <w:spacing w:after="120"/>
              <w:rPr>
                <w:rFonts w:asciiTheme="minorHAnsi" w:hAnsiTheme="minorHAnsi"/>
                <w:b w:val="0"/>
                <w:bCs w:val="0"/>
                <w:color w:val="auto"/>
                <w:szCs w:val="20"/>
              </w:rPr>
            </w:pPr>
            <w:r w:rsidRPr="00943E3E">
              <w:rPr>
                <w:rFonts w:asciiTheme="minorHAnsi" w:hAnsiTheme="minorHAnsi"/>
                <w:b w:val="0"/>
                <w:bCs w:val="0"/>
                <w:color w:val="auto"/>
                <w:szCs w:val="20"/>
              </w:rPr>
              <w:t>S</w:t>
            </w:r>
            <w:r w:rsidR="00943E3E">
              <w:rPr>
                <w:rFonts w:asciiTheme="minorHAnsi" w:hAnsiTheme="minorHAnsi"/>
                <w:b w:val="0"/>
                <w:bCs w:val="0"/>
                <w:color w:val="auto"/>
                <w:szCs w:val="20"/>
              </w:rPr>
              <w:t>C</w:t>
            </w:r>
            <w:r w:rsidRPr="00943E3E">
              <w:rPr>
                <w:rFonts w:asciiTheme="minorHAnsi" w:hAnsiTheme="minorHAnsi"/>
                <w:b w:val="0"/>
                <w:bCs w:val="0"/>
                <w:color w:val="auto"/>
                <w:szCs w:val="20"/>
              </w:rPr>
              <w:t>PUD</w:t>
            </w:r>
          </w:p>
        </w:tc>
        <w:tc>
          <w:tcPr>
            <w:tcW w:w="6025" w:type="dxa"/>
            <w:tcBorders>
              <w:bottom w:val="single" w:sz="2" w:space="0" w:color="auto"/>
            </w:tcBorders>
            <w:shd w:val="clear" w:color="auto" w:fill="auto"/>
            <w:tcMar>
              <w:top w:w="43" w:type="dxa"/>
              <w:left w:w="115" w:type="dxa"/>
              <w:bottom w:w="43" w:type="dxa"/>
              <w:right w:w="115" w:type="dxa"/>
            </w:tcMar>
          </w:tcPr>
          <w:p w14:paraId="489C62DC" w14:textId="123B8608" w:rsidR="00D8761C" w:rsidRPr="00943E3E"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943E3E">
              <w:rPr>
                <w:rFonts w:asciiTheme="minorHAnsi" w:hAnsiTheme="minorHAnsi"/>
                <w:b w:val="0"/>
                <w:bCs w:val="0"/>
                <w:color w:val="auto"/>
                <w:szCs w:val="20"/>
              </w:rPr>
              <w:t>S</w:t>
            </w:r>
            <w:r w:rsidR="00943E3E">
              <w:rPr>
                <w:rFonts w:asciiTheme="minorHAnsi" w:hAnsiTheme="minorHAnsi"/>
                <w:b w:val="0"/>
                <w:bCs w:val="0"/>
                <w:color w:val="auto"/>
                <w:szCs w:val="20"/>
              </w:rPr>
              <w:t>C</w:t>
            </w:r>
            <w:r w:rsidRPr="00943E3E">
              <w:rPr>
                <w:rFonts w:asciiTheme="minorHAnsi" w:hAnsiTheme="minorHAnsi"/>
                <w:b w:val="0"/>
                <w:bCs w:val="0"/>
                <w:color w:val="auto"/>
                <w:szCs w:val="20"/>
              </w:rPr>
              <w:t xml:space="preserve">PUD added the following comments. </w:t>
            </w:r>
          </w:p>
          <w:p w14:paraId="3289616C" w14:textId="77777777" w:rsidR="00D8761C" w:rsidRPr="00943E3E"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p>
          <w:p w14:paraId="5B6B3B5B" w14:textId="77777777" w:rsidR="00D8761C" w:rsidRPr="00943E3E" w:rsidRDefault="00D8761C" w:rsidP="00610493">
            <w:pPr>
              <w:pStyle w:val="NoSpacing"/>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color w:val="auto"/>
                <w:szCs w:val="20"/>
              </w:rPr>
            </w:pPr>
            <w:r w:rsidRPr="00943E3E">
              <w:rPr>
                <w:rFonts w:asciiTheme="minorHAnsi" w:hAnsiTheme="minorHAnsi"/>
                <w:b w:val="0"/>
                <w:bCs w:val="0"/>
                <w:color w:val="auto"/>
                <w:szCs w:val="20"/>
              </w:rPr>
              <w:t>“The proposed Regional Reliability Standard has more specific criteria for the same requirements covered in a continent-wide standard.”</w:t>
            </w:r>
          </w:p>
        </w:tc>
      </w:tr>
    </w:tbl>
    <w:tbl>
      <w:tblPr>
        <w:tblStyle w:val="WECCTable"/>
        <w:tblW w:w="10075" w:type="dxa"/>
        <w:tblLook w:val="04A0" w:firstRow="1" w:lastRow="0" w:firstColumn="1" w:lastColumn="0" w:noHBand="0" w:noVBand="1"/>
      </w:tblPr>
      <w:tblGrid>
        <w:gridCol w:w="4045"/>
        <w:gridCol w:w="6030"/>
      </w:tblGrid>
      <w:tr w:rsidR="00943E3E" w14:paraId="26189B9D" w14:textId="77777777" w:rsidTr="00610493">
        <w:trPr>
          <w:cnfStyle w:val="100000000000" w:firstRow="1" w:lastRow="0" w:firstColumn="0" w:lastColumn="0" w:oddVBand="0" w:evenVBand="0" w:oddHBand="0" w:evenHBand="0" w:firstRowFirstColumn="0" w:firstRowLastColumn="0" w:lastRowFirstColumn="0" w:lastRowLastColumn="0"/>
          <w:trHeight w:val="37"/>
        </w:trPr>
        <w:tc>
          <w:tcPr>
            <w:cnfStyle w:val="001000000100" w:firstRow="0" w:lastRow="0" w:firstColumn="1" w:lastColumn="0" w:oddVBand="0" w:evenVBand="0" w:oddHBand="0" w:evenHBand="0" w:firstRowFirstColumn="1" w:firstRowLastColumn="0" w:lastRowFirstColumn="0" w:lastRowLastColumn="0"/>
            <w:tcW w:w="4045" w:type="dxa"/>
          </w:tcPr>
          <w:p w14:paraId="03F3D793" w14:textId="77777777" w:rsidR="00943E3E" w:rsidRDefault="00943E3E" w:rsidP="00610493">
            <w:r>
              <w:t>Response</w:t>
            </w:r>
          </w:p>
        </w:tc>
        <w:tc>
          <w:tcPr>
            <w:tcW w:w="6030" w:type="dxa"/>
          </w:tcPr>
          <w:p w14:paraId="3CA1CBEA" w14:textId="77777777" w:rsidR="00943E3E" w:rsidRDefault="00943E3E" w:rsidP="00610493">
            <w:pPr>
              <w:cnfStyle w:val="100000000000" w:firstRow="1" w:lastRow="0" w:firstColumn="0" w:lastColumn="0" w:oddVBand="0" w:evenVBand="0" w:oddHBand="0" w:evenHBand="0" w:firstRowFirstColumn="0" w:firstRowLastColumn="0" w:lastRowFirstColumn="0" w:lastRowLastColumn="0"/>
            </w:pPr>
          </w:p>
        </w:tc>
      </w:tr>
    </w:tbl>
    <w:tbl>
      <w:tblPr>
        <w:tblStyle w:val="WECCTableStyle1"/>
        <w:tblW w:w="0" w:type="auto"/>
        <w:tblLook w:val="04A0" w:firstRow="1" w:lastRow="0" w:firstColumn="1" w:lastColumn="0" w:noHBand="0" w:noVBand="1"/>
      </w:tblPr>
      <w:tblGrid>
        <w:gridCol w:w="10070"/>
      </w:tblGrid>
      <w:tr w:rsidR="00D8761C" w:rsidRPr="00151FB6" w14:paraId="49EC68F9" w14:textId="77777777" w:rsidTr="00943E3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tcBorders>
              <w:top w:val="single" w:sz="2" w:space="0" w:color="auto"/>
              <w:left w:val="single" w:sz="2" w:space="0" w:color="auto"/>
              <w:bottom w:val="single" w:sz="2" w:space="0" w:color="auto"/>
              <w:right w:val="single" w:sz="2" w:space="0" w:color="auto"/>
            </w:tcBorders>
            <w:shd w:val="clear" w:color="auto" w:fill="auto"/>
            <w:tcMar>
              <w:top w:w="43" w:type="dxa"/>
              <w:left w:w="115" w:type="dxa"/>
              <w:bottom w:w="43" w:type="dxa"/>
              <w:right w:w="115" w:type="dxa"/>
            </w:tcMar>
          </w:tcPr>
          <w:p w14:paraId="4C21DB71" w14:textId="10918E51" w:rsidR="00D8761C" w:rsidRPr="0057168A" w:rsidRDefault="00D8761C" w:rsidP="00610493">
            <w:pPr>
              <w:rPr>
                <w:bCs w:val="0"/>
                <w:color w:val="0070C0"/>
                <w:szCs w:val="20"/>
              </w:rPr>
            </w:pPr>
            <w:r w:rsidRPr="0057168A">
              <w:rPr>
                <w:color w:val="0070C0"/>
                <w:szCs w:val="20"/>
              </w:rPr>
              <w:t>The WECC-0141 DT appreciates S</w:t>
            </w:r>
            <w:r w:rsidR="00943E3E">
              <w:rPr>
                <w:color w:val="0070C0"/>
                <w:szCs w:val="20"/>
              </w:rPr>
              <w:t>C</w:t>
            </w:r>
            <w:r w:rsidRPr="0057168A">
              <w:rPr>
                <w:color w:val="0070C0"/>
                <w:szCs w:val="20"/>
              </w:rPr>
              <w:t xml:space="preserve">PUD’s observation and concurs. </w:t>
            </w:r>
          </w:p>
        </w:tc>
      </w:tr>
    </w:tbl>
    <w:p w14:paraId="0D83FA04" w14:textId="77777777" w:rsidR="00D8761C" w:rsidRPr="004969FA" w:rsidRDefault="00D8761C" w:rsidP="00D8761C">
      <w:pPr>
        <w:rPr>
          <w:sz w:val="20"/>
          <w:szCs w:val="20"/>
        </w:rPr>
      </w:pPr>
    </w:p>
    <w:p w14:paraId="10482209" w14:textId="77777777" w:rsidR="00C05765" w:rsidRDefault="00C05765" w:rsidP="008E2D28"/>
    <w:sectPr w:rsidR="00C05765" w:rsidSect="00E60569">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CA4D" w14:textId="77777777" w:rsidR="008246F4" w:rsidRDefault="008246F4" w:rsidP="00E60569">
      <w:r>
        <w:separator/>
      </w:r>
    </w:p>
    <w:p w14:paraId="29B4A931" w14:textId="77777777" w:rsidR="008246F4" w:rsidRDefault="008246F4" w:rsidP="00E60569"/>
  </w:endnote>
  <w:endnote w:type="continuationSeparator" w:id="0">
    <w:p w14:paraId="23EC6AF4" w14:textId="77777777" w:rsidR="008246F4" w:rsidRDefault="008246F4" w:rsidP="00E60569">
      <w:r>
        <w:continuationSeparator/>
      </w:r>
    </w:p>
    <w:p w14:paraId="3FCFEB35" w14:textId="77777777" w:rsidR="008246F4" w:rsidRDefault="008246F4"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F0C93" w14:textId="77777777" w:rsidR="004300B9" w:rsidRDefault="004300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49292C7A" w14:textId="77777777" w:rsidR="00415F11" w:rsidRPr="00E5288E" w:rsidRDefault="00415F11" w:rsidP="00E60569">
        <w:pPr>
          <w:pStyle w:val="Footer"/>
          <w:rPr>
            <w:sz w:val="22"/>
          </w:rPr>
        </w:pPr>
        <w:r w:rsidRPr="00E5288E">
          <w:rPr>
            <w:sz w:val="22"/>
          </w:rPr>
          <w:drawing>
            <wp:inline distT="0" distB="0" distL="0" distR="0" wp14:anchorId="11D5E73F" wp14:editId="56151A14">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5</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72BD8" w14:textId="77777777" w:rsidR="00415F11" w:rsidRPr="00E5288E" w:rsidRDefault="00415F11" w:rsidP="00E60569">
    <w:pPr>
      <w:pStyle w:val="Footer"/>
      <w:rPr>
        <w:sz w:val="22"/>
      </w:rPr>
    </w:pPr>
    <w:r w:rsidRPr="00E5288E">
      <w:rPr>
        <w:sz w:val="22"/>
      </w:rPr>
      <mc:AlternateContent>
        <mc:Choice Requires="wps">
          <w:drawing>
            <wp:inline distT="0" distB="0" distL="0" distR="0" wp14:anchorId="66ACA964" wp14:editId="08EB5206">
              <wp:extent cx="6400800" cy="523875"/>
              <wp:effectExtent l="0" t="0" r="0" b="9525"/>
              <wp:docPr id="30" name="Rectangle 30"/>
              <wp:cNvGraphicFramePr/>
              <a:graphic xmlns:a="http://schemas.openxmlformats.org/drawingml/2006/main">
                <a:graphicData uri="http://schemas.microsoft.com/office/word/2010/wordprocessingShape">
                  <wps:wsp>
                    <wps:cNvSpPr/>
                    <wps:spPr>
                      <a:xfrm>
                        <a:off x="0" y="0"/>
                        <a:ext cx="6400800" cy="5238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w16du="http://schemas.microsoft.com/office/word/2023/wordml/word16du">
          <w:pict>
            <v:rect w14:anchorId="66ACA964" id="Rectangle 30" o:spid="_x0000_s1029" style="width:7in;height:4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" fillcolor="#00395d [3204]" stroked="f" strokeweight="2pt">
              <v:textbox>
                <w:txbxContent>
                  <w:p w14:paraId="42A50647" w14:textId="77777777" w:rsidR="00415F11" w:rsidRPr="00E5288E" w:rsidRDefault="00415F11" w:rsidP="00E60569">
                    <w:pPr>
                      <w:pStyle w:val="FooterPG1"/>
                      <w:rPr>
                        <w:sz w:val="22"/>
                      </w:rPr>
                    </w:pPr>
                    <w:r w:rsidRPr="00E5288E">
                      <w:rPr>
                        <w:sz w:val="22"/>
                      </w:rPr>
                      <w:t>155 North 400 West | Suite 200 | Salt Lake City, Utah 84103</w:t>
                    </w:r>
                    <w:r w:rsidRPr="00E5288E">
                      <w:rPr>
                        <w:sz w:val="22"/>
                      </w:rPr>
                      <w:br/>
                      <w:t>www.wecc.org</w:t>
                    </w:r>
                  </w:p>
                </w:txbxContent>
              </v:textbox>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8A545" w14:textId="77777777" w:rsidR="008246F4" w:rsidRDefault="008246F4" w:rsidP="0053685B">
      <w:pPr>
        <w:pStyle w:val="FootnoteText"/>
      </w:pPr>
      <w:r>
        <w:separator/>
      </w:r>
    </w:p>
  </w:footnote>
  <w:footnote w:type="continuationSeparator" w:id="0">
    <w:p w14:paraId="7D2574D5" w14:textId="77777777" w:rsidR="008246F4" w:rsidRDefault="008246F4" w:rsidP="00E60569">
      <w:r>
        <w:continuationSeparator/>
      </w:r>
    </w:p>
    <w:p w14:paraId="210014AE" w14:textId="77777777" w:rsidR="008246F4" w:rsidRDefault="008246F4" w:rsidP="00E60569"/>
  </w:footnote>
  <w:footnote w:id="1">
    <w:p w14:paraId="1DC6F5A9" w14:textId="1C2857B8" w:rsidR="008B6FF1" w:rsidRDefault="008B6FF1">
      <w:pPr>
        <w:pStyle w:val="FootnoteText"/>
      </w:pPr>
      <w:r>
        <w:rPr>
          <w:rStyle w:val="FootnoteReference"/>
        </w:rPr>
        <w:footnoteRef/>
      </w:r>
      <w:r>
        <w:t xml:space="preserve"> 15 drafting meetings, 1 WECC Standards Committee meeting, 1 Standards Briefing, and 1 WECC Board of Directors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0A04B" w14:textId="759FF7F4" w:rsidR="00415F11" w:rsidRDefault="00541BCC">
    <w:pPr>
      <w:pStyle w:val="Header"/>
    </w:pPr>
    <w:r>
      <w:rPr>
        <w:noProof/>
      </w:rPr>
      <mc:AlternateContent>
        <mc:Choice Requires="wps">
          <w:drawing>
            <wp:anchor distT="0" distB="0" distL="0" distR="0" simplePos="0" relativeHeight="251666432" behindDoc="0" locked="0" layoutInCell="1" allowOverlap="1" wp14:anchorId="14F83BF6" wp14:editId="440E859B">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06375BA" w14:textId="52A81804" w:rsidR="00541BCC" w:rsidRPr="00541BCC" w:rsidRDefault="00541BCC" w:rsidP="00541BCC">
                          <w:pPr>
                            <w:spacing w:after="0"/>
                            <w:rPr>
                              <w:rFonts w:ascii="Calibri" w:eastAsia="Calibri" w:hAnsi="Calibri" w:cs="Calibri"/>
                              <w:noProof/>
                              <w:color w:val="000000"/>
                              <w:sz w:val="20"/>
                              <w:szCs w:val="20"/>
                            </w:rPr>
                          </w:pPr>
                          <w:r w:rsidRPr="00541BC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4F83BF6"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06375BA" w14:textId="52A81804" w:rsidR="00541BCC" w:rsidRPr="00541BCC" w:rsidRDefault="00541BCC" w:rsidP="00541BCC">
                    <w:pPr>
                      <w:spacing w:after="0"/>
                      <w:rPr>
                        <w:rFonts w:ascii="Calibri" w:eastAsia="Calibri" w:hAnsi="Calibri" w:cs="Calibri"/>
                        <w:noProof/>
                        <w:color w:val="000000"/>
                        <w:sz w:val="20"/>
                        <w:szCs w:val="20"/>
                      </w:rPr>
                    </w:pPr>
                    <w:r w:rsidRPr="00541BCC">
                      <w:rPr>
                        <w:rFonts w:ascii="Calibri" w:eastAsia="Calibri" w:hAnsi="Calibri" w:cs="Calibri"/>
                        <w:noProof/>
                        <w:color w:val="000000"/>
                        <w:sz w:val="20"/>
                        <w:szCs w:val="20"/>
                      </w:rPr>
                      <w:t>&lt;Public&gt;</w:t>
                    </w:r>
                  </w:p>
                </w:txbxContent>
              </v:textbox>
              <w10:wrap anchorx="page" anchory="page"/>
            </v:shape>
          </w:pict>
        </mc:Fallback>
      </mc:AlternateContent>
    </w:r>
    <w:r w:rsidR="004300B9">
      <w:rPr>
        <w:noProof/>
      </w:rPr>
      <w:pict w14:anchorId="3F610A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791407" o:spid="_x0000_s1033" type="#_x0000_t136" style="position:absolute;left:0;text-align:left;margin-left:0;margin-top:0;width:672.1pt;height:38.45pt;rotation:315;z-index:-251654144;mso-position-horizontal:center;mso-position-horizontal-relative:margin;mso-position-vertical:center;mso-position-vertical-relative:margin" o:allowincell="f" fillcolor="silver" stroked="f">
          <v:fill opacity=".5"/>
          <v:textpath style="font-family:&quot;Palatino Linotype&quot;;font-size:1pt" string="Posting 2 - Response to Comments - Final from Tech"/>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B04D6" w14:textId="5FFEDDC3" w:rsidR="00415F11" w:rsidRPr="00E5288E" w:rsidRDefault="00541BCC" w:rsidP="00E60569">
    <w:pPr>
      <w:pStyle w:val="Header"/>
      <w:rPr>
        <w:sz w:val="22"/>
      </w:rPr>
    </w:pPr>
    <w:r>
      <w:rPr>
        <w:noProof/>
        <w:color w:val="00395D" w:themeColor="accent1"/>
      </w:rPr>
      <mc:AlternateContent>
        <mc:Choice Requires="wps">
          <w:drawing>
            <wp:anchor distT="0" distB="0" distL="0" distR="0" simplePos="0" relativeHeight="251667456" behindDoc="0" locked="0" layoutInCell="1" allowOverlap="1" wp14:anchorId="30A967AA" wp14:editId="4660CA4A">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3073BF" w14:textId="08D5331E" w:rsidR="00541BCC" w:rsidRPr="00541BCC" w:rsidRDefault="00541BCC" w:rsidP="00541BCC">
                          <w:pPr>
                            <w:spacing w:after="0"/>
                            <w:rPr>
                              <w:rFonts w:ascii="Calibri" w:eastAsia="Calibri" w:hAnsi="Calibri" w:cs="Calibri"/>
                              <w:noProof/>
                              <w:color w:val="000000"/>
                              <w:sz w:val="20"/>
                              <w:szCs w:val="20"/>
                            </w:rPr>
                          </w:pPr>
                          <w:r w:rsidRPr="00541BC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30A967AA"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73073BF" w14:textId="08D5331E" w:rsidR="00541BCC" w:rsidRPr="00541BCC" w:rsidRDefault="00541BCC" w:rsidP="00541BCC">
                    <w:pPr>
                      <w:spacing w:after="0"/>
                      <w:rPr>
                        <w:rFonts w:ascii="Calibri" w:eastAsia="Calibri" w:hAnsi="Calibri" w:cs="Calibri"/>
                        <w:noProof/>
                        <w:color w:val="000000"/>
                        <w:sz w:val="20"/>
                        <w:szCs w:val="20"/>
                      </w:rPr>
                    </w:pPr>
                    <w:r w:rsidRPr="00541BCC">
                      <w:rPr>
                        <w:rFonts w:ascii="Calibri" w:eastAsia="Calibri" w:hAnsi="Calibri" w:cs="Calibri"/>
                        <w:noProof/>
                        <w:color w:val="000000"/>
                        <w:sz w:val="20"/>
                        <w:szCs w:val="20"/>
                      </w:rPr>
                      <w:t>&lt;Public&gt;</w:t>
                    </w:r>
                  </w:p>
                </w:txbxContent>
              </v:textbox>
              <w10:wrap anchorx="page" anchory="page"/>
            </v:shape>
          </w:pict>
        </mc:Fallback>
      </mc:AlternateContent>
    </w:r>
    <w:r w:rsidR="004300B9">
      <w:rPr>
        <w:noProof/>
        <w:color w:val="00395D" w:themeColor="accent1"/>
      </w:rPr>
      <w:pict w14:anchorId="08CBE9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791408" o:spid="_x0000_s1034" type="#_x0000_t136" style="position:absolute;left:0;text-align:left;margin-left:0;margin-top:0;width:681.75pt;height:38.45pt;rotation:315;z-index:-251652096;mso-position-horizontal:center;mso-position-horizontal-relative:margin;mso-position-vertical:center;mso-position-vertical-relative:margin" o:allowincell="f" fillcolor="silver" stroked="f">
          <v:fill opacity=".5"/>
          <v:textpath style="font-family:&quot;Palatino Linotype&quot;;font-size:1pt" string="Posting 2 - Response to Comments - Final from Tech"/>
          <w10:wrap anchorx="margin" anchory="margin"/>
        </v:shape>
      </w:pict>
    </w:r>
    <w:r w:rsidR="00415F11" w:rsidRPr="002271E7">
      <w:rPr>
        <w:color w:val="00395D" w:themeColor="accent1"/>
        <w:sz w:val="22"/>
      </w:rPr>
      <w:t>WECC-014</w:t>
    </w:r>
    <w:r w:rsidR="00D56489">
      <w:rPr>
        <w:color w:val="00395D" w:themeColor="accent1"/>
        <w:sz w:val="22"/>
      </w:rPr>
      <w:t xml:space="preserve">1 </w:t>
    </w:r>
    <w:r w:rsidR="00415F11" w:rsidRPr="002271E7">
      <w:rPr>
        <w:color w:val="00395D" w:themeColor="accent1"/>
        <w:sz w:val="22"/>
      </w:rPr>
      <w:t xml:space="preserve">Response to Comments </w:t>
    </w:r>
    <w:r w:rsidR="00D56489">
      <w:rPr>
        <w:color w:val="00395D" w:themeColor="accent1"/>
        <w:sz w:val="22"/>
      </w:rPr>
      <w:t>NERC Posting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DA081" w14:textId="0E0CBB83" w:rsidR="00415F11" w:rsidRDefault="00541BCC" w:rsidP="00FD6572">
    <w:pPr>
      <w:pStyle w:val="Header"/>
    </w:pPr>
    <w:r>
      <w:rPr>
        <w:noProof/>
      </w:rPr>
      <mc:AlternateContent>
        <mc:Choice Requires="wps">
          <w:drawing>
            <wp:anchor distT="0" distB="0" distL="0" distR="0" simplePos="0" relativeHeight="251665408" behindDoc="0" locked="0" layoutInCell="1" allowOverlap="1" wp14:anchorId="19824EA2" wp14:editId="220D5EAD">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F10485" w14:textId="2647569B" w:rsidR="00541BCC" w:rsidRPr="00541BCC" w:rsidRDefault="00541BCC" w:rsidP="00541BCC">
                          <w:pPr>
                            <w:spacing w:after="0"/>
                            <w:rPr>
                              <w:rFonts w:ascii="Calibri" w:eastAsia="Calibri" w:hAnsi="Calibri" w:cs="Calibri"/>
                              <w:noProof/>
                              <w:color w:val="000000"/>
                              <w:sz w:val="20"/>
                              <w:szCs w:val="20"/>
                            </w:rPr>
                          </w:pPr>
                          <w:r w:rsidRPr="00541BCC">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9824EA2"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51F10485" w14:textId="2647569B" w:rsidR="00541BCC" w:rsidRPr="00541BCC" w:rsidRDefault="00541BCC" w:rsidP="00541BCC">
                    <w:pPr>
                      <w:spacing w:after="0"/>
                      <w:rPr>
                        <w:rFonts w:ascii="Calibri" w:eastAsia="Calibri" w:hAnsi="Calibri" w:cs="Calibri"/>
                        <w:noProof/>
                        <w:color w:val="000000"/>
                        <w:sz w:val="20"/>
                        <w:szCs w:val="20"/>
                      </w:rPr>
                    </w:pPr>
                    <w:r w:rsidRPr="00541BCC">
                      <w:rPr>
                        <w:rFonts w:ascii="Calibri" w:eastAsia="Calibri" w:hAnsi="Calibri" w:cs="Calibri"/>
                        <w:noProof/>
                        <w:color w:val="000000"/>
                        <w:sz w:val="20"/>
                        <w:szCs w:val="20"/>
                      </w:rPr>
                      <w:t>&lt;Public&gt;</w:t>
                    </w:r>
                  </w:p>
                </w:txbxContent>
              </v:textbox>
              <w10:wrap anchorx="page" anchory="page"/>
            </v:shape>
          </w:pict>
        </mc:Fallback>
      </mc:AlternateContent>
    </w:r>
    <w:r w:rsidR="004300B9">
      <w:rPr>
        <w:noProof/>
      </w:rPr>
      <w:pict w14:anchorId="029641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4791406" o:spid="_x0000_s1032" type="#_x0000_t136" style="position:absolute;left:0;text-align:left;margin-left:0;margin-top:0;width:681.75pt;height:38.45pt;rotation:315;z-index:-251656192;mso-position-horizontal:center;mso-position-horizontal-relative:margin;mso-position-vertical:center;mso-position-vertical-relative:margin" o:allowincell="f" fillcolor="silver" stroked="f">
          <v:fill opacity=".5"/>
          <v:textpath style="font-family:&quot;Palatino Linotype&quot;;font-size:1pt" string="Posting 2 - Response to Comments - Final from Tech"/>
          <w10:wrap anchorx="margin" anchory="margin"/>
        </v:shape>
      </w:pict>
    </w:r>
    <w:r w:rsidR="00415F11">
      <w:rPr>
        <w:noProof/>
      </w:rPr>
      <w:drawing>
        <wp:anchor distT="0" distB="0" distL="114300" distR="114300" simplePos="0" relativeHeight="251658240" behindDoc="1" locked="0" layoutInCell="1" allowOverlap="1" wp14:anchorId="596D6C42" wp14:editId="55DEFD6A">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p>
  <w:p w14:paraId="755C5F38" w14:textId="11115C99" w:rsidR="00455BBB" w:rsidRDefault="00455BBB" w:rsidP="00833E1A">
    <w:pPr>
      <w:pStyle w:val="Header"/>
      <w:rPr>
        <w:bCs/>
      </w:rPr>
    </w:pPr>
    <w:bookmarkStart w:id="16" w:name="_Hlk23152673"/>
    <w:r>
      <w:rPr>
        <w:bCs/>
      </w:rPr>
      <w:t xml:space="preserve">Attachment </w:t>
    </w:r>
    <w:r w:rsidR="004300B9">
      <w:rPr>
        <w:bCs/>
      </w:rPr>
      <w:t>R7</w:t>
    </w:r>
  </w:p>
  <w:p w14:paraId="044A4BA2" w14:textId="6DE13FE0" w:rsidR="003E4CC0" w:rsidRDefault="00415F11" w:rsidP="00833E1A">
    <w:pPr>
      <w:pStyle w:val="Header"/>
      <w:rPr>
        <w:bCs/>
      </w:rPr>
    </w:pPr>
    <w:r w:rsidRPr="00833E1A">
      <w:rPr>
        <w:bCs/>
      </w:rPr>
      <w:t>WECC-014</w:t>
    </w:r>
    <w:r w:rsidR="007601BB">
      <w:rPr>
        <w:bCs/>
      </w:rPr>
      <w:t>1</w:t>
    </w:r>
  </w:p>
  <w:p w14:paraId="06CF189B" w14:textId="77777777" w:rsidR="007601BB" w:rsidRDefault="007601BB" w:rsidP="00833E1A">
    <w:pPr>
      <w:pStyle w:val="Header"/>
      <w:rPr>
        <w:bCs/>
      </w:rPr>
    </w:pPr>
    <w:r>
      <w:rPr>
        <w:bCs/>
      </w:rPr>
      <w:t>FAC-501-WECC-3</w:t>
    </w:r>
  </w:p>
  <w:p w14:paraId="21316A25" w14:textId="77777777" w:rsidR="007601BB" w:rsidRDefault="007601BB" w:rsidP="00833E1A">
    <w:pPr>
      <w:pStyle w:val="Header"/>
      <w:rPr>
        <w:bCs/>
      </w:rPr>
    </w:pPr>
    <w:r>
      <w:rPr>
        <w:bCs/>
      </w:rPr>
      <w:t>NERC 45-Day Posting</w:t>
    </w:r>
  </w:p>
  <w:bookmarkEnd w:id="16"/>
  <w:p w14:paraId="5B44D666" w14:textId="77F6924F" w:rsidR="00415F11" w:rsidRDefault="00415F11" w:rsidP="00FD6572">
    <w:pPr>
      <w:pStyle w:val="Header"/>
      <w:contextualSpacing w:val="0"/>
    </w:pPr>
    <w:r>
      <w:t>Response to Comments Posting</w:t>
    </w:r>
    <w:r w:rsidR="00603AC2">
      <w:t xml:space="preserve"> </w:t>
    </w:r>
    <w:r w:rsidR="007601BB">
      <w:t>1</w:t>
    </w:r>
  </w:p>
  <w:p w14:paraId="7AE1FC3D" w14:textId="263C6693" w:rsidR="00415F11" w:rsidRPr="00761FA8" w:rsidRDefault="00683214" w:rsidP="00FD6572">
    <w:pPr>
      <w:pStyle w:val="Header"/>
      <w:contextualSpacing w:val="0"/>
    </w:pPr>
    <w:r>
      <w:t>January 26, 2022</w:t>
    </w:r>
    <w:r w:rsidR="00415F11">
      <w:t>–</w:t>
    </w:r>
    <w:r>
      <w:t>March 11,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74DA"/>
    <w:multiLevelType w:val="multilevel"/>
    <w:tmpl w:val="36D622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28B2DA1"/>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B2585"/>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7E25F9"/>
    <w:multiLevelType w:val="hybridMultilevel"/>
    <w:tmpl w:val="E1344C1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4" w15:restartNumberingAfterBreak="0">
    <w:nsid w:val="09E41D63"/>
    <w:multiLevelType w:val="multilevel"/>
    <w:tmpl w:val="0C100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5F6564"/>
    <w:multiLevelType w:val="multilevel"/>
    <w:tmpl w:val="FFDC2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81072"/>
    <w:multiLevelType w:val="hybridMultilevel"/>
    <w:tmpl w:val="E9F04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11CED"/>
    <w:multiLevelType w:val="hybridMultilevel"/>
    <w:tmpl w:val="D0DC484C"/>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8"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9" w15:restartNumberingAfterBreak="0">
    <w:nsid w:val="108D14CF"/>
    <w:multiLevelType w:val="hybridMultilevel"/>
    <w:tmpl w:val="E3FA760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10" w15:restartNumberingAfterBreak="0">
    <w:nsid w:val="15F20728"/>
    <w:multiLevelType w:val="hybridMultilevel"/>
    <w:tmpl w:val="DFF09602"/>
    <w:lvl w:ilvl="0" w:tplc="3B300AA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D6D16"/>
    <w:multiLevelType w:val="multilevel"/>
    <w:tmpl w:val="592EC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704893"/>
    <w:multiLevelType w:val="hybridMultilevel"/>
    <w:tmpl w:val="F8929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F53F51"/>
    <w:multiLevelType w:val="hybridMultilevel"/>
    <w:tmpl w:val="DBB8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537020"/>
    <w:multiLevelType w:val="multilevel"/>
    <w:tmpl w:val="B3D0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9246CB"/>
    <w:multiLevelType w:val="hybridMultilevel"/>
    <w:tmpl w:val="93E06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02D6F83"/>
    <w:multiLevelType w:val="hybridMultilevel"/>
    <w:tmpl w:val="9DF4243A"/>
    <w:lvl w:ilvl="0" w:tplc="28BE7472">
      <w:start w:val="1"/>
      <w:numFmt w:val="decimal"/>
      <w:pStyle w:val="ListParagrap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22F6E66"/>
    <w:multiLevelType w:val="multilevel"/>
    <w:tmpl w:val="7CF686C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40AB2CE6"/>
    <w:multiLevelType w:val="hybridMultilevel"/>
    <w:tmpl w:val="A836C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467E5"/>
    <w:multiLevelType w:val="hybridMultilevel"/>
    <w:tmpl w:val="D9728B2C"/>
    <w:lvl w:ilvl="0" w:tplc="99609F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585A93"/>
    <w:multiLevelType w:val="hybridMultilevel"/>
    <w:tmpl w:val="EE2A8796"/>
    <w:lvl w:ilvl="0" w:tplc="EEFAA7D2">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314EBB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450F4F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E48BC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B8FFDC">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2A569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5DE902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172979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09ACE3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C907135"/>
    <w:multiLevelType w:val="hybridMultilevel"/>
    <w:tmpl w:val="4A864706"/>
    <w:lvl w:ilvl="0" w:tplc="8F8C5A4A">
      <w:start w:val="1"/>
      <w:numFmt w:val="decimal"/>
      <w:lvlText w:val="%1)"/>
      <w:lvlJc w:val="left"/>
      <w:pPr>
        <w:ind w:left="720" w:hanging="360"/>
      </w:pPr>
      <w:rPr>
        <w:rFonts w:hint="default"/>
        <w:color w:val="3D58A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045D96"/>
    <w:multiLevelType w:val="hybridMultilevel"/>
    <w:tmpl w:val="26060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25" w15:restartNumberingAfterBreak="0">
    <w:nsid w:val="5BA16938"/>
    <w:multiLevelType w:val="hybridMultilevel"/>
    <w:tmpl w:val="C68CA0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BA505FB"/>
    <w:multiLevelType w:val="multilevel"/>
    <w:tmpl w:val="495E3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EFA67B0"/>
    <w:multiLevelType w:val="hybridMultilevel"/>
    <w:tmpl w:val="E94C8566"/>
    <w:lvl w:ilvl="0" w:tplc="E4F6550A">
      <w:start w:val="1"/>
      <w:numFmt w:val="decimal"/>
      <w:lvlText w:val="%1)"/>
      <w:lvlJc w:val="left"/>
      <w:pPr>
        <w:ind w:left="451" w:hanging="360"/>
      </w:pPr>
      <w:rPr>
        <w:rFonts w:hint="default"/>
      </w:rPr>
    </w:lvl>
    <w:lvl w:ilvl="1" w:tplc="04090019" w:tentative="1">
      <w:start w:val="1"/>
      <w:numFmt w:val="lowerLetter"/>
      <w:lvlText w:val="%2."/>
      <w:lvlJc w:val="left"/>
      <w:pPr>
        <w:ind w:left="1171" w:hanging="360"/>
      </w:pPr>
    </w:lvl>
    <w:lvl w:ilvl="2" w:tplc="0409001B" w:tentative="1">
      <w:start w:val="1"/>
      <w:numFmt w:val="lowerRoman"/>
      <w:lvlText w:val="%3."/>
      <w:lvlJc w:val="right"/>
      <w:pPr>
        <w:ind w:left="1891" w:hanging="180"/>
      </w:pPr>
    </w:lvl>
    <w:lvl w:ilvl="3" w:tplc="0409000F" w:tentative="1">
      <w:start w:val="1"/>
      <w:numFmt w:val="decimal"/>
      <w:lvlText w:val="%4."/>
      <w:lvlJc w:val="left"/>
      <w:pPr>
        <w:ind w:left="2611" w:hanging="360"/>
      </w:pPr>
    </w:lvl>
    <w:lvl w:ilvl="4" w:tplc="04090019" w:tentative="1">
      <w:start w:val="1"/>
      <w:numFmt w:val="lowerLetter"/>
      <w:lvlText w:val="%5."/>
      <w:lvlJc w:val="left"/>
      <w:pPr>
        <w:ind w:left="3331" w:hanging="360"/>
      </w:pPr>
    </w:lvl>
    <w:lvl w:ilvl="5" w:tplc="0409001B" w:tentative="1">
      <w:start w:val="1"/>
      <w:numFmt w:val="lowerRoman"/>
      <w:lvlText w:val="%6."/>
      <w:lvlJc w:val="right"/>
      <w:pPr>
        <w:ind w:left="4051" w:hanging="180"/>
      </w:pPr>
    </w:lvl>
    <w:lvl w:ilvl="6" w:tplc="0409000F" w:tentative="1">
      <w:start w:val="1"/>
      <w:numFmt w:val="decimal"/>
      <w:lvlText w:val="%7."/>
      <w:lvlJc w:val="left"/>
      <w:pPr>
        <w:ind w:left="4771" w:hanging="360"/>
      </w:pPr>
    </w:lvl>
    <w:lvl w:ilvl="7" w:tplc="04090019" w:tentative="1">
      <w:start w:val="1"/>
      <w:numFmt w:val="lowerLetter"/>
      <w:lvlText w:val="%8."/>
      <w:lvlJc w:val="left"/>
      <w:pPr>
        <w:ind w:left="5491" w:hanging="360"/>
      </w:pPr>
    </w:lvl>
    <w:lvl w:ilvl="8" w:tplc="0409001B" w:tentative="1">
      <w:start w:val="1"/>
      <w:numFmt w:val="lowerRoman"/>
      <w:lvlText w:val="%9."/>
      <w:lvlJc w:val="right"/>
      <w:pPr>
        <w:ind w:left="6211" w:hanging="180"/>
      </w:pPr>
    </w:lvl>
  </w:abstractNum>
  <w:abstractNum w:abstractNumId="28"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29" w15:restartNumberingAfterBreak="0">
    <w:nsid w:val="60990E7B"/>
    <w:multiLevelType w:val="hybridMultilevel"/>
    <w:tmpl w:val="6E20346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63B141AE"/>
    <w:multiLevelType w:val="multilevel"/>
    <w:tmpl w:val="36D4A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4962115"/>
    <w:multiLevelType w:val="hybridMultilevel"/>
    <w:tmpl w:val="93F6D90C"/>
    <w:lvl w:ilvl="0" w:tplc="638A0FF8">
      <w:start w:val="1"/>
      <w:numFmt w:val="lowerLetter"/>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BEE34A">
      <w:start w:val="1"/>
      <w:numFmt w:val="lowerLetter"/>
      <w:lvlText w:val="%2"/>
      <w:lvlJc w:val="left"/>
      <w:pPr>
        <w:ind w:left="12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24799C">
      <w:start w:val="1"/>
      <w:numFmt w:val="lowerRoman"/>
      <w:lvlText w:val="%3"/>
      <w:lvlJc w:val="left"/>
      <w:pPr>
        <w:ind w:left="19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19222DE">
      <w:start w:val="1"/>
      <w:numFmt w:val="decimal"/>
      <w:lvlText w:val="%4"/>
      <w:lvlJc w:val="left"/>
      <w:pPr>
        <w:ind w:left="27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1A4E2F8">
      <w:start w:val="1"/>
      <w:numFmt w:val="lowerLetter"/>
      <w:lvlText w:val="%5"/>
      <w:lvlJc w:val="left"/>
      <w:pPr>
        <w:ind w:left="34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2A1DAC">
      <w:start w:val="1"/>
      <w:numFmt w:val="lowerRoman"/>
      <w:lvlText w:val="%6"/>
      <w:lvlJc w:val="left"/>
      <w:pPr>
        <w:ind w:left="41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210ABAC">
      <w:start w:val="1"/>
      <w:numFmt w:val="decimal"/>
      <w:lvlText w:val="%7"/>
      <w:lvlJc w:val="left"/>
      <w:pPr>
        <w:ind w:left="4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A3457EE">
      <w:start w:val="1"/>
      <w:numFmt w:val="lowerLetter"/>
      <w:lvlText w:val="%8"/>
      <w:lvlJc w:val="left"/>
      <w:pPr>
        <w:ind w:left="55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92EF99C">
      <w:start w:val="1"/>
      <w:numFmt w:val="lowerRoman"/>
      <w:lvlText w:val="%9"/>
      <w:lvlJc w:val="left"/>
      <w:pPr>
        <w:ind w:left="63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8B23E17"/>
    <w:multiLevelType w:val="hybridMultilevel"/>
    <w:tmpl w:val="6CD6CE16"/>
    <w:lvl w:ilvl="0" w:tplc="92263B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5A7887"/>
    <w:multiLevelType w:val="hybridMultilevel"/>
    <w:tmpl w:val="27BA7302"/>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34" w15:restartNumberingAfterBreak="0">
    <w:nsid w:val="69C62925"/>
    <w:multiLevelType w:val="hybridMultilevel"/>
    <w:tmpl w:val="21866F0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6" w15:restartNumberingAfterBreak="0">
    <w:nsid w:val="6E421954"/>
    <w:multiLevelType w:val="hybridMultilevel"/>
    <w:tmpl w:val="024EA2A0"/>
    <w:lvl w:ilvl="0" w:tplc="257C690A">
      <w:start w:val="2"/>
      <w:numFmt w:val="bullet"/>
      <w:lvlText w:val="-"/>
      <w:lvlJc w:val="left"/>
      <w:pPr>
        <w:ind w:left="411" w:hanging="360"/>
      </w:pPr>
      <w:rPr>
        <w:rFonts w:ascii="Palatino Linotype" w:eastAsiaTheme="minorHAnsi" w:hAnsi="Palatino Linotype" w:cstheme="minorBidi" w:hint="default"/>
      </w:rPr>
    </w:lvl>
    <w:lvl w:ilvl="1" w:tplc="04090003" w:tentative="1">
      <w:start w:val="1"/>
      <w:numFmt w:val="bullet"/>
      <w:lvlText w:val="o"/>
      <w:lvlJc w:val="left"/>
      <w:pPr>
        <w:ind w:left="1131" w:hanging="360"/>
      </w:pPr>
      <w:rPr>
        <w:rFonts w:ascii="Courier New" w:hAnsi="Courier New" w:cs="Courier New" w:hint="default"/>
      </w:rPr>
    </w:lvl>
    <w:lvl w:ilvl="2" w:tplc="04090005" w:tentative="1">
      <w:start w:val="1"/>
      <w:numFmt w:val="bullet"/>
      <w:lvlText w:val=""/>
      <w:lvlJc w:val="left"/>
      <w:pPr>
        <w:ind w:left="1851" w:hanging="360"/>
      </w:pPr>
      <w:rPr>
        <w:rFonts w:ascii="Wingdings" w:hAnsi="Wingdings" w:hint="default"/>
      </w:rPr>
    </w:lvl>
    <w:lvl w:ilvl="3" w:tplc="04090001" w:tentative="1">
      <w:start w:val="1"/>
      <w:numFmt w:val="bullet"/>
      <w:lvlText w:val=""/>
      <w:lvlJc w:val="left"/>
      <w:pPr>
        <w:ind w:left="2571" w:hanging="360"/>
      </w:pPr>
      <w:rPr>
        <w:rFonts w:ascii="Symbol" w:hAnsi="Symbol" w:hint="default"/>
      </w:rPr>
    </w:lvl>
    <w:lvl w:ilvl="4" w:tplc="04090003" w:tentative="1">
      <w:start w:val="1"/>
      <w:numFmt w:val="bullet"/>
      <w:lvlText w:val="o"/>
      <w:lvlJc w:val="left"/>
      <w:pPr>
        <w:ind w:left="3291" w:hanging="360"/>
      </w:pPr>
      <w:rPr>
        <w:rFonts w:ascii="Courier New" w:hAnsi="Courier New" w:cs="Courier New" w:hint="default"/>
      </w:rPr>
    </w:lvl>
    <w:lvl w:ilvl="5" w:tplc="04090005" w:tentative="1">
      <w:start w:val="1"/>
      <w:numFmt w:val="bullet"/>
      <w:lvlText w:val=""/>
      <w:lvlJc w:val="left"/>
      <w:pPr>
        <w:ind w:left="4011" w:hanging="360"/>
      </w:pPr>
      <w:rPr>
        <w:rFonts w:ascii="Wingdings" w:hAnsi="Wingdings" w:hint="default"/>
      </w:rPr>
    </w:lvl>
    <w:lvl w:ilvl="6" w:tplc="04090001" w:tentative="1">
      <w:start w:val="1"/>
      <w:numFmt w:val="bullet"/>
      <w:lvlText w:val=""/>
      <w:lvlJc w:val="left"/>
      <w:pPr>
        <w:ind w:left="4731" w:hanging="360"/>
      </w:pPr>
      <w:rPr>
        <w:rFonts w:ascii="Symbol" w:hAnsi="Symbol" w:hint="default"/>
      </w:rPr>
    </w:lvl>
    <w:lvl w:ilvl="7" w:tplc="04090003" w:tentative="1">
      <w:start w:val="1"/>
      <w:numFmt w:val="bullet"/>
      <w:lvlText w:val="o"/>
      <w:lvlJc w:val="left"/>
      <w:pPr>
        <w:ind w:left="5451" w:hanging="360"/>
      </w:pPr>
      <w:rPr>
        <w:rFonts w:ascii="Courier New" w:hAnsi="Courier New" w:cs="Courier New" w:hint="default"/>
      </w:rPr>
    </w:lvl>
    <w:lvl w:ilvl="8" w:tplc="04090005" w:tentative="1">
      <w:start w:val="1"/>
      <w:numFmt w:val="bullet"/>
      <w:lvlText w:val=""/>
      <w:lvlJc w:val="left"/>
      <w:pPr>
        <w:ind w:left="6171" w:hanging="360"/>
      </w:pPr>
      <w:rPr>
        <w:rFonts w:ascii="Wingdings" w:hAnsi="Wingdings" w:hint="default"/>
      </w:rPr>
    </w:lvl>
  </w:abstractNum>
  <w:abstractNum w:abstractNumId="37" w15:restartNumberingAfterBreak="0">
    <w:nsid w:val="6EB7442B"/>
    <w:multiLevelType w:val="multilevel"/>
    <w:tmpl w:val="DD5A6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11333E"/>
    <w:multiLevelType w:val="multilevel"/>
    <w:tmpl w:val="0C1A87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40"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2" w15:restartNumberingAfterBreak="0">
    <w:nsid w:val="73DA5445"/>
    <w:multiLevelType w:val="multilevel"/>
    <w:tmpl w:val="64603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500EE2"/>
    <w:multiLevelType w:val="hybridMultilevel"/>
    <w:tmpl w:val="00B214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1496979">
    <w:abstractNumId w:val="40"/>
  </w:num>
  <w:num w:numId="2" w16cid:durableId="1177960432">
    <w:abstractNumId w:val="24"/>
  </w:num>
  <w:num w:numId="3" w16cid:durableId="521669450">
    <w:abstractNumId w:val="8"/>
  </w:num>
  <w:num w:numId="4" w16cid:durableId="483206628">
    <w:abstractNumId w:val="16"/>
  </w:num>
  <w:num w:numId="5" w16cid:durableId="554510798">
    <w:abstractNumId w:val="41"/>
  </w:num>
  <w:num w:numId="6" w16cid:durableId="1321688232">
    <w:abstractNumId w:val="18"/>
  </w:num>
  <w:num w:numId="7" w16cid:durableId="209266651">
    <w:abstractNumId w:val="39"/>
  </w:num>
  <w:num w:numId="8" w16cid:durableId="966928669">
    <w:abstractNumId w:val="28"/>
  </w:num>
  <w:num w:numId="9" w16cid:durableId="1338924452">
    <w:abstractNumId w:val="35"/>
  </w:num>
  <w:num w:numId="10" w16cid:durableId="805316872">
    <w:abstractNumId w:val="17"/>
  </w:num>
  <w:num w:numId="11" w16cid:durableId="226184330">
    <w:abstractNumId w:val="17"/>
    <w:lvlOverride w:ilvl="0">
      <w:startOverride w:val="1"/>
    </w:lvlOverride>
  </w:num>
  <w:num w:numId="12" w16cid:durableId="1791315250">
    <w:abstractNumId w:val="19"/>
  </w:num>
  <w:num w:numId="13" w16cid:durableId="568536832">
    <w:abstractNumId w:val="12"/>
  </w:num>
  <w:num w:numId="14" w16cid:durableId="1646662591">
    <w:abstractNumId w:val="38"/>
  </w:num>
  <w:num w:numId="15" w16cid:durableId="75964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358438047">
    <w:abstractNumId w:val="4"/>
  </w:num>
  <w:num w:numId="17" w16cid:durableId="1350832979">
    <w:abstractNumId w:val="26"/>
  </w:num>
  <w:num w:numId="18" w16cid:durableId="661155404">
    <w:abstractNumId w:val="11"/>
  </w:num>
  <w:num w:numId="19" w16cid:durableId="1272667832">
    <w:abstractNumId w:val="14"/>
  </w:num>
  <w:num w:numId="20" w16cid:durableId="2062241761">
    <w:abstractNumId w:val="42"/>
  </w:num>
  <w:num w:numId="21" w16cid:durableId="219757655">
    <w:abstractNumId w:val="37"/>
  </w:num>
  <w:num w:numId="22" w16cid:durableId="1029332241">
    <w:abstractNumId w:val="17"/>
    <w:lvlOverride w:ilvl="0">
      <w:startOverride w:val="1"/>
    </w:lvlOverride>
  </w:num>
  <w:num w:numId="23" w16cid:durableId="1674651572">
    <w:abstractNumId w:val="2"/>
  </w:num>
  <w:num w:numId="24" w16cid:durableId="1710295484">
    <w:abstractNumId w:val="5"/>
  </w:num>
  <w:num w:numId="25" w16cid:durableId="2090233009">
    <w:abstractNumId w:val="30"/>
  </w:num>
  <w:num w:numId="26" w16cid:durableId="1132481264">
    <w:abstractNumId w:val="3"/>
  </w:num>
  <w:num w:numId="27" w16cid:durableId="784426402">
    <w:abstractNumId w:val="22"/>
  </w:num>
  <w:num w:numId="28" w16cid:durableId="374240380">
    <w:abstractNumId w:val="13"/>
  </w:num>
  <w:num w:numId="29" w16cid:durableId="1774281196">
    <w:abstractNumId w:val="7"/>
  </w:num>
  <w:num w:numId="30" w16cid:durableId="1482697852">
    <w:abstractNumId w:val="25"/>
  </w:num>
  <w:num w:numId="31" w16cid:durableId="1487123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537162188">
    <w:abstractNumId w:val="6"/>
  </w:num>
  <w:num w:numId="33" w16cid:durableId="931860970">
    <w:abstractNumId w:val="21"/>
  </w:num>
  <w:num w:numId="34" w16cid:durableId="778839556">
    <w:abstractNumId w:val="31"/>
  </w:num>
  <w:num w:numId="35" w16cid:durableId="1188760995">
    <w:abstractNumId w:val="36"/>
  </w:num>
  <w:num w:numId="36" w16cid:durableId="1680083605">
    <w:abstractNumId w:val="10"/>
  </w:num>
  <w:num w:numId="37" w16cid:durableId="882710290">
    <w:abstractNumId w:val="20"/>
  </w:num>
  <w:num w:numId="38" w16cid:durableId="47147033">
    <w:abstractNumId w:val="32"/>
  </w:num>
  <w:num w:numId="39" w16cid:durableId="978532177">
    <w:abstractNumId w:val="17"/>
  </w:num>
  <w:num w:numId="40" w16cid:durableId="1872037985">
    <w:abstractNumId w:val="29"/>
  </w:num>
  <w:num w:numId="41" w16cid:durableId="1711146563">
    <w:abstractNumId w:val="27"/>
  </w:num>
  <w:num w:numId="42" w16cid:durableId="494609497">
    <w:abstractNumId w:val="9"/>
  </w:num>
  <w:num w:numId="43" w16cid:durableId="403767574">
    <w:abstractNumId w:val="23"/>
  </w:num>
  <w:num w:numId="44" w16cid:durableId="1961645914">
    <w:abstractNumId w:val="33"/>
  </w:num>
  <w:num w:numId="45" w16cid:durableId="166673516">
    <w:abstractNumId w:val="1"/>
  </w:num>
  <w:num w:numId="46" w16cid:durableId="899632628">
    <w:abstractNumId w:val="43"/>
  </w:num>
  <w:num w:numId="47" w16cid:durableId="130562468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defaultTabStop w:val="720"/>
  <w:defaultTableStyle w:val="WECCTable"/>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zMzc0NzQzNbI0NTdX0lEKTi0uzszPAykwrAUAKQBTniwAAAA="/>
  </w:docVars>
  <w:rsids>
    <w:rsidRoot w:val="0053685B"/>
    <w:rsid w:val="0000557C"/>
    <w:rsid w:val="00012FEE"/>
    <w:rsid w:val="00017C30"/>
    <w:rsid w:val="00023A2F"/>
    <w:rsid w:val="00033171"/>
    <w:rsid w:val="000337A9"/>
    <w:rsid w:val="00035493"/>
    <w:rsid w:val="000373A1"/>
    <w:rsid w:val="00042E09"/>
    <w:rsid w:val="00046215"/>
    <w:rsid w:val="0004659E"/>
    <w:rsid w:val="000544F0"/>
    <w:rsid w:val="00060803"/>
    <w:rsid w:val="000625C8"/>
    <w:rsid w:val="00064067"/>
    <w:rsid w:val="0006553B"/>
    <w:rsid w:val="0006630A"/>
    <w:rsid w:val="00067501"/>
    <w:rsid w:val="00071D3D"/>
    <w:rsid w:val="00071F78"/>
    <w:rsid w:val="000733F6"/>
    <w:rsid w:val="00077FA9"/>
    <w:rsid w:val="000833A8"/>
    <w:rsid w:val="00090829"/>
    <w:rsid w:val="00091311"/>
    <w:rsid w:val="00092CB5"/>
    <w:rsid w:val="00096702"/>
    <w:rsid w:val="00097445"/>
    <w:rsid w:val="000A1755"/>
    <w:rsid w:val="000A4DDD"/>
    <w:rsid w:val="000A7509"/>
    <w:rsid w:val="000B360E"/>
    <w:rsid w:val="000B364E"/>
    <w:rsid w:val="000B6418"/>
    <w:rsid w:val="000C22A2"/>
    <w:rsid w:val="000D3E2E"/>
    <w:rsid w:val="000D56D6"/>
    <w:rsid w:val="000D63FA"/>
    <w:rsid w:val="000D7344"/>
    <w:rsid w:val="000E3160"/>
    <w:rsid w:val="000E493B"/>
    <w:rsid w:val="000F02B3"/>
    <w:rsid w:val="000F3CFC"/>
    <w:rsid w:val="000F5D12"/>
    <w:rsid w:val="000F614E"/>
    <w:rsid w:val="000F7B31"/>
    <w:rsid w:val="0010153E"/>
    <w:rsid w:val="001040CC"/>
    <w:rsid w:val="00104AE7"/>
    <w:rsid w:val="00105B18"/>
    <w:rsid w:val="00106394"/>
    <w:rsid w:val="001079A8"/>
    <w:rsid w:val="0011358A"/>
    <w:rsid w:val="001208EE"/>
    <w:rsid w:val="0012474D"/>
    <w:rsid w:val="001329AD"/>
    <w:rsid w:val="00135202"/>
    <w:rsid w:val="00135654"/>
    <w:rsid w:val="00143454"/>
    <w:rsid w:val="001469BB"/>
    <w:rsid w:val="001512EE"/>
    <w:rsid w:val="00160911"/>
    <w:rsid w:val="001636D2"/>
    <w:rsid w:val="00171A03"/>
    <w:rsid w:val="001727D3"/>
    <w:rsid w:val="00173F68"/>
    <w:rsid w:val="001808BB"/>
    <w:rsid w:val="00185D80"/>
    <w:rsid w:val="001864C5"/>
    <w:rsid w:val="001A6A21"/>
    <w:rsid w:val="001B5EEC"/>
    <w:rsid w:val="001B7CE9"/>
    <w:rsid w:val="001C2248"/>
    <w:rsid w:val="001C497F"/>
    <w:rsid w:val="001C7E2D"/>
    <w:rsid w:val="001E12D2"/>
    <w:rsid w:val="001E1B6F"/>
    <w:rsid w:val="001E561E"/>
    <w:rsid w:val="001F1BBC"/>
    <w:rsid w:val="001F3FA9"/>
    <w:rsid w:val="001F739D"/>
    <w:rsid w:val="00202A82"/>
    <w:rsid w:val="00203374"/>
    <w:rsid w:val="00206057"/>
    <w:rsid w:val="00207C13"/>
    <w:rsid w:val="00216976"/>
    <w:rsid w:val="00220016"/>
    <w:rsid w:val="002201AF"/>
    <w:rsid w:val="0022514A"/>
    <w:rsid w:val="002267AC"/>
    <w:rsid w:val="002271E7"/>
    <w:rsid w:val="00233175"/>
    <w:rsid w:val="00233E12"/>
    <w:rsid w:val="002362EC"/>
    <w:rsid w:val="0024031F"/>
    <w:rsid w:val="002425F0"/>
    <w:rsid w:val="002431E3"/>
    <w:rsid w:val="002460EF"/>
    <w:rsid w:val="0025463C"/>
    <w:rsid w:val="00257404"/>
    <w:rsid w:val="00262429"/>
    <w:rsid w:val="002634B4"/>
    <w:rsid w:val="00263D03"/>
    <w:rsid w:val="00270172"/>
    <w:rsid w:val="002703EA"/>
    <w:rsid w:val="002741CD"/>
    <w:rsid w:val="002750A4"/>
    <w:rsid w:val="002779B8"/>
    <w:rsid w:val="002804E5"/>
    <w:rsid w:val="00287368"/>
    <w:rsid w:val="00290615"/>
    <w:rsid w:val="002A1821"/>
    <w:rsid w:val="002A6673"/>
    <w:rsid w:val="002A77D8"/>
    <w:rsid w:val="002B1949"/>
    <w:rsid w:val="002B4DA5"/>
    <w:rsid w:val="002C0B4D"/>
    <w:rsid w:val="002C1AB2"/>
    <w:rsid w:val="002C5320"/>
    <w:rsid w:val="002D79C5"/>
    <w:rsid w:val="002E1330"/>
    <w:rsid w:val="002E355D"/>
    <w:rsid w:val="00307CFC"/>
    <w:rsid w:val="00320F1C"/>
    <w:rsid w:val="003218A8"/>
    <w:rsid w:val="00322E28"/>
    <w:rsid w:val="00323BC9"/>
    <w:rsid w:val="00324BF2"/>
    <w:rsid w:val="00325D2C"/>
    <w:rsid w:val="00330A1B"/>
    <w:rsid w:val="00336765"/>
    <w:rsid w:val="00337ECC"/>
    <w:rsid w:val="0034063B"/>
    <w:rsid w:val="0034465D"/>
    <w:rsid w:val="00352EC0"/>
    <w:rsid w:val="0035498A"/>
    <w:rsid w:val="0035688D"/>
    <w:rsid w:val="00360161"/>
    <w:rsid w:val="0036314F"/>
    <w:rsid w:val="0036534C"/>
    <w:rsid w:val="00370BF3"/>
    <w:rsid w:val="00371F31"/>
    <w:rsid w:val="00373E5B"/>
    <w:rsid w:val="003802FB"/>
    <w:rsid w:val="003826D4"/>
    <w:rsid w:val="00383C9E"/>
    <w:rsid w:val="00391626"/>
    <w:rsid w:val="003918C8"/>
    <w:rsid w:val="003A001E"/>
    <w:rsid w:val="003A079E"/>
    <w:rsid w:val="003A1E3E"/>
    <w:rsid w:val="003A1EB3"/>
    <w:rsid w:val="003A5038"/>
    <w:rsid w:val="003B7782"/>
    <w:rsid w:val="003C47B7"/>
    <w:rsid w:val="003D2CA0"/>
    <w:rsid w:val="003D455A"/>
    <w:rsid w:val="003D4E9D"/>
    <w:rsid w:val="003D767B"/>
    <w:rsid w:val="003E1973"/>
    <w:rsid w:val="003E37FE"/>
    <w:rsid w:val="003E4CC0"/>
    <w:rsid w:val="003E5939"/>
    <w:rsid w:val="003E6D2D"/>
    <w:rsid w:val="003E7DCF"/>
    <w:rsid w:val="003F3940"/>
    <w:rsid w:val="003F4AD9"/>
    <w:rsid w:val="003F6838"/>
    <w:rsid w:val="003F7D87"/>
    <w:rsid w:val="00411EBC"/>
    <w:rsid w:val="00415F11"/>
    <w:rsid w:val="004165AD"/>
    <w:rsid w:val="00416F6B"/>
    <w:rsid w:val="004173EB"/>
    <w:rsid w:val="004300B9"/>
    <w:rsid w:val="0043393A"/>
    <w:rsid w:val="0043738A"/>
    <w:rsid w:val="0044319B"/>
    <w:rsid w:val="00444FCF"/>
    <w:rsid w:val="00454D47"/>
    <w:rsid w:val="00455BBB"/>
    <w:rsid w:val="004578CE"/>
    <w:rsid w:val="00466D5C"/>
    <w:rsid w:val="00473124"/>
    <w:rsid w:val="004804B2"/>
    <w:rsid w:val="00480865"/>
    <w:rsid w:val="0048182D"/>
    <w:rsid w:val="00483713"/>
    <w:rsid w:val="00483A71"/>
    <w:rsid w:val="00494F89"/>
    <w:rsid w:val="004952DF"/>
    <w:rsid w:val="0049639E"/>
    <w:rsid w:val="004A043C"/>
    <w:rsid w:val="004A0BC8"/>
    <w:rsid w:val="004A2C9C"/>
    <w:rsid w:val="004A2CA6"/>
    <w:rsid w:val="004A5A5A"/>
    <w:rsid w:val="004A61E0"/>
    <w:rsid w:val="004B393E"/>
    <w:rsid w:val="004C1B4D"/>
    <w:rsid w:val="004D1F97"/>
    <w:rsid w:val="004D30E6"/>
    <w:rsid w:val="004E082F"/>
    <w:rsid w:val="004E3D0A"/>
    <w:rsid w:val="004E7D99"/>
    <w:rsid w:val="004F24DB"/>
    <w:rsid w:val="004F29D9"/>
    <w:rsid w:val="004F352F"/>
    <w:rsid w:val="00504175"/>
    <w:rsid w:val="00504559"/>
    <w:rsid w:val="00504EEE"/>
    <w:rsid w:val="0050729A"/>
    <w:rsid w:val="00507DC5"/>
    <w:rsid w:val="00513832"/>
    <w:rsid w:val="005144DB"/>
    <w:rsid w:val="00516938"/>
    <w:rsid w:val="00516DBC"/>
    <w:rsid w:val="00523296"/>
    <w:rsid w:val="00533CFD"/>
    <w:rsid w:val="0053685B"/>
    <w:rsid w:val="00541BCC"/>
    <w:rsid w:val="00550DB3"/>
    <w:rsid w:val="0056149A"/>
    <w:rsid w:val="00571E4F"/>
    <w:rsid w:val="00574CF9"/>
    <w:rsid w:val="00577340"/>
    <w:rsid w:val="005852D5"/>
    <w:rsid w:val="00591600"/>
    <w:rsid w:val="00591960"/>
    <w:rsid w:val="00597BEB"/>
    <w:rsid w:val="00597D38"/>
    <w:rsid w:val="005A1B26"/>
    <w:rsid w:val="005A2805"/>
    <w:rsid w:val="005A289B"/>
    <w:rsid w:val="005A48F3"/>
    <w:rsid w:val="005A673C"/>
    <w:rsid w:val="005A728A"/>
    <w:rsid w:val="005A7A13"/>
    <w:rsid w:val="005B075B"/>
    <w:rsid w:val="005B679F"/>
    <w:rsid w:val="005C4DB3"/>
    <w:rsid w:val="005C7F62"/>
    <w:rsid w:val="005D2FE6"/>
    <w:rsid w:val="005D3F69"/>
    <w:rsid w:val="005D7F49"/>
    <w:rsid w:val="005E36FF"/>
    <w:rsid w:val="005E461E"/>
    <w:rsid w:val="005E60E2"/>
    <w:rsid w:val="005E7AB7"/>
    <w:rsid w:val="005F5FB9"/>
    <w:rsid w:val="005F7350"/>
    <w:rsid w:val="006001CA"/>
    <w:rsid w:val="00601110"/>
    <w:rsid w:val="00603AC2"/>
    <w:rsid w:val="00603CB7"/>
    <w:rsid w:val="00611EB5"/>
    <w:rsid w:val="0061413B"/>
    <w:rsid w:val="00617889"/>
    <w:rsid w:val="0062691A"/>
    <w:rsid w:val="00633476"/>
    <w:rsid w:val="00636BEB"/>
    <w:rsid w:val="00641123"/>
    <w:rsid w:val="006466CB"/>
    <w:rsid w:val="00647577"/>
    <w:rsid w:val="006501CE"/>
    <w:rsid w:val="006532F2"/>
    <w:rsid w:val="006550D8"/>
    <w:rsid w:val="006633E0"/>
    <w:rsid w:val="00672A0E"/>
    <w:rsid w:val="00673614"/>
    <w:rsid w:val="00683214"/>
    <w:rsid w:val="0068547F"/>
    <w:rsid w:val="006946CE"/>
    <w:rsid w:val="00695203"/>
    <w:rsid w:val="006A10DF"/>
    <w:rsid w:val="006A143D"/>
    <w:rsid w:val="006A57E4"/>
    <w:rsid w:val="006A6A7B"/>
    <w:rsid w:val="006B10F7"/>
    <w:rsid w:val="006B2A25"/>
    <w:rsid w:val="006C0A2C"/>
    <w:rsid w:val="006D382D"/>
    <w:rsid w:val="006E1C73"/>
    <w:rsid w:val="006E6397"/>
    <w:rsid w:val="006F6E46"/>
    <w:rsid w:val="007045F9"/>
    <w:rsid w:val="00706A70"/>
    <w:rsid w:val="007130D6"/>
    <w:rsid w:val="00714314"/>
    <w:rsid w:val="007164BD"/>
    <w:rsid w:val="00716BCC"/>
    <w:rsid w:val="007176F3"/>
    <w:rsid w:val="00721EE8"/>
    <w:rsid w:val="007342C5"/>
    <w:rsid w:val="00735DF8"/>
    <w:rsid w:val="0073777A"/>
    <w:rsid w:val="0074040B"/>
    <w:rsid w:val="00741A49"/>
    <w:rsid w:val="00742144"/>
    <w:rsid w:val="00746E1B"/>
    <w:rsid w:val="007511E4"/>
    <w:rsid w:val="007601BB"/>
    <w:rsid w:val="00761FA8"/>
    <w:rsid w:val="00762499"/>
    <w:rsid w:val="00765CED"/>
    <w:rsid w:val="00773161"/>
    <w:rsid w:val="00777338"/>
    <w:rsid w:val="00782755"/>
    <w:rsid w:val="00790B1F"/>
    <w:rsid w:val="00791F9C"/>
    <w:rsid w:val="00794287"/>
    <w:rsid w:val="0079574D"/>
    <w:rsid w:val="00795B5F"/>
    <w:rsid w:val="00796944"/>
    <w:rsid w:val="00796CF4"/>
    <w:rsid w:val="007974EB"/>
    <w:rsid w:val="007A1A57"/>
    <w:rsid w:val="007A400F"/>
    <w:rsid w:val="007A46E1"/>
    <w:rsid w:val="007A64C7"/>
    <w:rsid w:val="007B2D74"/>
    <w:rsid w:val="007B3DEE"/>
    <w:rsid w:val="007B3F25"/>
    <w:rsid w:val="007B51E2"/>
    <w:rsid w:val="007B7D2E"/>
    <w:rsid w:val="007C1F04"/>
    <w:rsid w:val="007C2E8E"/>
    <w:rsid w:val="007D10F7"/>
    <w:rsid w:val="007D236B"/>
    <w:rsid w:val="007D2436"/>
    <w:rsid w:val="007E0446"/>
    <w:rsid w:val="007E11F2"/>
    <w:rsid w:val="007E3A44"/>
    <w:rsid w:val="007F44E5"/>
    <w:rsid w:val="0080492E"/>
    <w:rsid w:val="00804B5D"/>
    <w:rsid w:val="00807773"/>
    <w:rsid w:val="008110DF"/>
    <w:rsid w:val="008117E5"/>
    <w:rsid w:val="00813C43"/>
    <w:rsid w:val="008150B2"/>
    <w:rsid w:val="008161B2"/>
    <w:rsid w:val="0081788E"/>
    <w:rsid w:val="00823036"/>
    <w:rsid w:val="008246F4"/>
    <w:rsid w:val="008279AC"/>
    <w:rsid w:val="0083062F"/>
    <w:rsid w:val="00833E1A"/>
    <w:rsid w:val="008356DA"/>
    <w:rsid w:val="0084086C"/>
    <w:rsid w:val="00843E7D"/>
    <w:rsid w:val="008446F5"/>
    <w:rsid w:val="008453E1"/>
    <w:rsid w:val="00855B6B"/>
    <w:rsid w:val="008569D3"/>
    <w:rsid w:val="008575F4"/>
    <w:rsid w:val="00864C89"/>
    <w:rsid w:val="00871FD3"/>
    <w:rsid w:val="00874BBC"/>
    <w:rsid w:val="00891439"/>
    <w:rsid w:val="008A57E3"/>
    <w:rsid w:val="008B1F42"/>
    <w:rsid w:val="008B4DD7"/>
    <w:rsid w:val="008B6516"/>
    <w:rsid w:val="008B6FF1"/>
    <w:rsid w:val="008B7E87"/>
    <w:rsid w:val="008C2815"/>
    <w:rsid w:val="008C6B3F"/>
    <w:rsid w:val="008D34AA"/>
    <w:rsid w:val="008D7432"/>
    <w:rsid w:val="008E2D28"/>
    <w:rsid w:val="008E7488"/>
    <w:rsid w:val="008E7FEE"/>
    <w:rsid w:val="008F0248"/>
    <w:rsid w:val="008F14B2"/>
    <w:rsid w:val="008F2EF3"/>
    <w:rsid w:val="008F3E53"/>
    <w:rsid w:val="008F5FA1"/>
    <w:rsid w:val="009033AC"/>
    <w:rsid w:val="00913528"/>
    <w:rsid w:val="00914794"/>
    <w:rsid w:val="00914865"/>
    <w:rsid w:val="00917197"/>
    <w:rsid w:val="0091755C"/>
    <w:rsid w:val="00926A2E"/>
    <w:rsid w:val="00931844"/>
    <w:rsid w:val="0094025E"/>
    <w:rsid w:val="00943E3E"/>
    <w:rsid w:val="00945920"/>
    <w:rsid w:val="00953D87"/>
    <w:rsid w:val="00955581"/>
    <w:rsid w:val="009619AE"/>
    <w:rsid w:val="00965469"/>
    <w:rsid w:val="009664A1"/>
    <w:rsid w:val="0096709D"/>
    <w:rsid w:val="00973BFC"/>
    <w:rsid w:val="00973DB0"/>
    <w:rsid w:val="009760A9"/>
    <w:rsid w:val="009762D5"/>
    <w:rsid w:val="00977C61"/>
    <w:rsid w:val="0098286B"/>
    <w:rsid w:val="009A4894"/>
    <w:rsid w:val="009A4D48"/>
    <w:rsid w:val="009A5DB1"/>
    <w:rsid w:val="009B19EE"/>
    <w:rsid w:val="009B37B4"/>
    <w:rsid w:val="009B5510"/>
    <w:rsid w:val="009C1317"/>
    <w:rsid w:val="009C1A37"/>
    <w:rsid w:val="009D2CEE"/>
    <w:rsid w:val="009E040B"/>
    <w:rsid w:val="009E1D07"/>
    <w:rsid w:val="009F163A"/>
    <w:rsid w:val="009F509D"/>
    <w:rsid w:val="009F530F"/>
    <w:rsid w:val="009F5663"/>
    <w:rsid w:val="00A00E6E"/>
    <w:rsid w:val="00A1463B"/>
    <w:rsid w:val="00A231E9"/>
    <w:rsid w:val="00A25718"/>
    <w:rsid w:val="00A25B0B"/>
    <w:rsid w:val="00A27E3A"/>
    <w:rsid w:val="00A323FE"/>
    <w:rsid w:val="00A32B37"/>
    <w:rsid w:val="00A40A76"/>
    <w:rsid w:val="00A454BF"/>
    <w:rsid w:val="00A50731"/>
    <w:rsid w:val="00A54F9C"/>
    <w:rsid w:val="00A55FDC"/>
    <w:rsid w:val="00A80B6E"/>
    <w:rsid w:val="00A9036D"/>
    <w:rsid w:val="00A90E38"/>
    <w:rsid w:val="00A90E43"/>
    <w:rsid w:val="00A91FC7"/>
    <w:rsid w:val="00A928D5"/>
    <w:rsid w:val="00A9537C"/>
    <w:rsid w:val="00AA1142"/>
    <w:rsid w:val="00AA28B5"/>
    <w:rsid w:val="00AA4836"/>
    <w:rsid w:val="00AA7261"/>
    <w:rsid w:val="00AB2A51"/>
    <w:rsid w:val="00AB2D32"/>
    <w:rsid w:val="00AB67FE"/>
    <w:rsid w:val="00AC1FA6"/>
    <w:rsid w:val="00AD06CB"/>
    <w:rsid w:val="00AD06D5"/>
    <w:rsid w:val="00AD1A1C"/>
    <w:rsid w:val="00AE4F6F"/>
    <w:rsid w:val="00AF6501"/>
    <w:rsid w:val="00B0700F"/>
    <w:rsid w:val="00B076C7"/>
    <w:rsid w:val="00B1133D"/>
    <w:rsid w:val="00B14047"/>
    <w:rsid w:val="00B14107"/>
    <w:rsid w:val="00B1669F"/>
    <w:rsid w:val="00B17C66"/>
    <w:rsid w:val="00B2238A"/>
    <w:rsid w:val="00B2334C"/>
    <w:rsid w:val="00B24F85"/>
    <w:rsid w:val="00B327DC"/>
    <w:rsid w:val="00B34663"/>
    <w:rsid w:val="00B3575F"/>
    <w:rsid w:val="00B35E63"/>
    <w:rsid w:val="00B41360"/>
    <w:rsid w:val="00B41561"/>
    <w:rsid w:val="00B41D6B"/>
    <w:rsid w:val="00B41EAD"/>
    <w:rsid w:val="00B437B5"/>
    <w:rsid w:val="00B4415D"/>
    <w:rsid w:val="00B44DA8"/>
    <w:rsid w:val="00B45011"/>
    <w:rsid w:val="00B518D4"/>
    <w:rsid w:val="00B52279"/>
    <w:rsid w:val="00B52F24"/>
    <w:rsid w:val="00B5418D"/>
    <w:rsid w:val="00B5595C"/>
    <w:rsid w:val="00B6235E"/>
    <w:rsid w:val="00B75012"/>
    <w:rsid w:val="00B76561"/>
    <w:rsid w:val="00B77317"/>
    <w:rsid w:val="00B82CA2"/>
    <w:rsid w:val="00B94EAC"/>
    <w:rsid w:val="00B96569"/>
    <w:rsid w:val="00BA599F"/>
    <w:rsid w:val="00BA7DBE"/>
    <w:rsid w:val="00BA7E4F"/>
    <w:rsid w:val="00BA7E58"/>
    <w:rsid w:val="00BB63D7"/>
    <w:rsid w:val="00BC0795"/>
    <w:rsid w:val="00BC2F0F"/>
    <w:rsid w:val="00BD27A7"/>
    <w:rsid w:val="00BD47CC"/>
    <w:rsid w:val="00BD7015"/>
    <w:rsid w:val="00BD7A6A"/>
    <w:rsid w:val="00BF2037"/>
    <w:rsid w:val="00BF2038"/>
    <w:rsid w:val="00BF4481"/>
    <w:rsid w:val="00BF5265"/>
    <w:rsid w:val="00BF653F"/>
    <w:rsid w:val="00BF79BD"/>
    <w:rsid w:val="00C05765"/>
    <w:rsid w:val="00C10053"/>
    <w:rsid w:val="00C132E2"/>
    <w:rsid w:val="00C15195"/>
    <w:rsid w:val="00C15211"/>
    <w:rsid w:val="00C16A82"/>
    <w:rsid w:val="00C2045F"/>
    <w:rsid w:val="00C20BD8"/>
    <w:rsid w:val="00C22CF7"/>
    <w:rsid w:val="00C23325"/>
    <w:rsid w:val="00C24770"/>
    <w:rsid w:val="00C27BD9"/>
    <w:rsid w:val="00C31688"/>
    <w:rsid w:val="00C36A03"/>
    <w:rsid w:val="00C40AE9"/>
    <w:rsid w:val="00C51757"/>
    <w:rsid w:val="00C51B37"/>
    <w:rsid w:val="00C53718"/>
    <w:rsid w:val="00C547A9"/>
    <w:rsid w:val="00C60FB0"/>
    <w:rsid w:val="00C65FA8"/>
    <w:rsid w:val="00C66DC1"/>
    <w:rsid w:val="00C708A2"/>
    <w:rsid w:val="00C70D36"/>
    <w:rsid w:val="00C77307"/>
    <w:rsid w:val="00C8730B"/>
    <w:rsid w:val="00C87902"/>
    <w:rsid w:val="00C87CDB"/>
    <w:rsid w:val="00CA16E0"/>
    <w:rsid w:val="00CB06A5"/>
    <w:rsid w:val="00CC0C76"/>
    <w:rsid w:val="00CC6863"/>
    <w:rsid w:val="00CD153D"/>
    <w:rsid w:val="00CD26FD"/>
    <w:rsid w:val="00CD2804"/>
    <w:rsid w:val="00CD2870"/>
    <w:rsid w:val="00CD52F7"/>
    <w:rsid w:val="00CE5459"/>
    <w:rsid w:val="00CE58B1"/>
    <w:rsid w:val="00CE5DA7"/>
    <w:rsid w:val="00CF744E"/>
    <w:rsid w:val="00CF774D"/>
    <w:rsid w:val="00D01FB6"/>
    <w:rsid w:val="00D02E36"/>
    <w:rsid w:val="00D043E3"/>
    <w:rsid w:val="00D07301"/>
    <w:rsid w:val="00D10167"/>
    <w:rsid w:val="00D103FF"/>
    <w:rsid w:val="00D126E2"/>
    <w:rsid w:val="00D12784"/>
    <w:rsid w:val="00D12FAF"/>
    <w:rsid w:val="00D20CB7"/>
    <w:rsid w:val="00D212A8"/>
    <w:rsid w:val="00D25CEC"/>
    <w:rsid w:val="00D26DF2"/>
    <w:rsid w:val="00D318C0"/>
    <w:rsid w:val="00D32A48"/>
    <w:rsid w:val="00D334D6"/>
    <w:rsid w:val="00D47B2D"/>
    <w:rsid w:val="00D524F1"/>
    <w:rsid w:val="00D56489"/>
    <w:rsid w:val="00D623B1"/>
    <w:rsid w:val="00D66C70"/>
    <w:rsid w:val="00D674A7"/>
    <w:rsid w:val="00D7193F"/>
    <w:rsid w:val="00D71A5B"/>
    <w:rsid w:val="00D73B92"/>
    <w:rsid w:val="00D768E9"/>
    <w:rsid w:val="00D83860"/>
    <w:rsid w:val="00D8761C"/>
    <w:rsid w:val="00D918C1"/>
    <w:rsid w:val="00D930AD"/>
    <w:rsid w:val="00D94A91"/>
    <w:rsid w:val="00D96775"/>
    <w:rsid w:val="00DB0CB8"/>
    <w:rsid w:val="00DB3148"/>
    <w:rsid w:val="00DC0A81"/>
    <w:rsid w:val="00DC5C72"/>
    <w:rsid w:val="00DD0300"/>
    <w:rsid w:val="00DD448C"/>
    <w:rsid w:val="00DD5DCB"/>
    <w:rsid w:val="00DE1BEB"/>
    <w:rsid w:val="00DE1D54"/>
    <w:rsid w:val="00DE4285"/>
    <w:rsid w:val="00DE62EB"/>
    <w:rsid w:val="00DE69BF"/>
    <w:rsid w:val="00DF32C3"/>
    <w:rsid w:val="00DF3783"/>
    <w:rsid w:val="00DF6016"/>
    <w:rsid w:val="00E06FFA"/>
    <w:rsid w:val="00E07CFC"/>
    <w:rsid w:val="00E10EDB"/>
    <w:rsid w:val="00E115FD"/>
    <w:rsid w:val="00E2192C"/>
    <w:rsid w:val="00E40C03"/>
    <w:rsid w:val="00E468D9"/>
    <w:rsid w:val="00E5288E"/>
    <w:rsid w:val="00E5719E"/>
    <w:rsid w:val="00E60569"/>
    <w:rsid w:val="00E62C56"/>
    <w:rsid w:val="00E63D1A"/>
    <w:rsid w:val="00E71EF0"/>
    <w:rsid w:val="00E8008C"/>
    <w:rsid w:val="00E8102D"/>
    <w:rsid w:val="00E94146"/>
    <w:rsid w:val="00E954B7"/>
    <w:rsid w:val="00E95A43"/>
    <w:rsid w:val="00E95EE6"/>
    <w:rsid w:val="00E9672B"/>
    <w:rsid w:val="00E97E19"/>
    <w:rsid w:val="00EA0066"/>
    <w:rsid w:val="00EA0E33"/>
    <w:rsid w:val="00EA2394"/>
    <w:rsid w:val="00EA368D"/>
    <w:rsid w:val="00EB4C68"/>
    <w:rsid w:val="00EC6C15"/>
    <w:rsid w:val="00ED3F4A"/>
    <w:rsid w:val="00ED464C"/>
    <w:rsid w:val="00EE1BC9"/>
    <w:rsid w:val="00EE6DB7"/>
    <w:rsid w:val="00EF577D"/>
    <w:rsid w:val="00EF5DFE"/>
    <w:rsid w:val="00F04DEA"/>
    <w:rsid w:val="00F073A6"/>
    <w:rsid w:val="00F10538"/>
    <w:rsid w:val="00F114D1"/>
    <w:rsid w:val="00F22869"/>
    <w:rsid w:val="00F24D4A"/>
    <w:rsid w:val="00F25A36"/>
    <w:rsid w:val="00F31B41"/>
    <w:rsid w:val="00F34704"/>
    <w:rsid w:val="00F47D9F"/>
    <w:rsid w:val="00F52A49"/>
    <w:rsid w:val="00F54BC0"/>
    <w:rsid w:val="00F5703F"/>
    <w:rsid w:val="00F61813"/>
    <w:rsid w:val="00F63841"/>
    <w:rsid w:val="00F64E4D"/>
    <w:rsid w:val="00F71062"/>
    <w:rsid w:val="00F734B5"/>
    <w:rsid w:val="00F76545"/>
    <w:rsid w:val="00F76639"/>
    <w:rsid w:val="00F768EB"/>
    <w:rsid w:val="00F82512"/>
    <w:rsid w:val="00F84051"/>
    <w:rsid w:val="00F853EC"/>
    <w:rsid w:val="00F85A6B"/>
    <w:rsid w:val="00F86011"/>
    <w:rsid w:val="00F8781A"/>
    <w:rsid w:val="00F9535C"/>
    <w:rsid w:val="00FA0A28"/>
    <w:rsid w:val="00FB0C78"/>
    <w:rsid w:val="00FB3507"/>
    <w:rsid w:val="00FB36F6"/>
    <w:rsid w:val="00FB77AC"/>
    <w:rsid w:val="00FC4CCD"/>
    <w:rsid w:val="00FC4DD4"/>
    <w:rsid w:val="00FC5444"/>
    <w:rsid w:val="00FD2BC8"/>
    <w:rsid w:val="00FD31D4"/>
    <w:rsid w:val="00FD487D"/>
    <w:rsid w:val="00FD4DD8"/>
    <w:rsid w:val="00FD5998"/>
    <w:rsid w:val="00FD59F1"/>
    <w:rsid w:val="00FD6572"/>
    <w:rsid w:val="00FE3E9D"/>
    <w:rsid w:val="00FE6A90"/>
    <w:rsid w:val="00FE7C58"/>
    <w:rsid w:val="00FF0947"/>
    <w:rsid w:val="00FF2578"/>
    <w:rsid w:val="00FF343F"/>
    <w:rsid w:val="00FF3E11"/>
    <w:rsid w:val="00FF4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5FADDF"/>
  <w15:chartTrackingRefBased/>
  <w15:docId w15:val="{EBCDFD62-C668-45D7-8A22-339E2C03F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1C"/>
    <w:rPr>
      <w:rFonts w:ascii="Palatino Linotype" w:hAnsi="Palatino Linotype"/>
    </w:rPr>
  </w:style>
  <w:style w:type="paragraph" w:styleId="Heading1">
    <w:name w:val="heading 1"/>
    <w:basedOn w:val="Normal"/>
    <w:next w:val="Normal"/>
    <w:link w:val="Heading1Char"/>
    <w:uiPriority w:val="2"/>
    <w:qFormat/>
    <w:rsid w:val="0053685B"/>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53685B"/>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53685B"/>
    <w:rPr>
      <w:rFonts w:ascii="Lucida Sans" w:eastAsiaTheme="majorEastAsia" w:hAnsi="Lucida Sans" w:cstheme="majorBidi"/>
      <w:b/>
      <w:bCs/>
      <w:color w:val="000000" w:themeColor="text1"/>
      <w:sz w:val="27"/>
      <w:szCs w:val="26"/>
    </w:rPr>
  </w:style>
  <w:style w:type="character" w:styleId="Hyperlink">
    <w:name w:val="Hyperlink"/>
    <w:basedOn w:val="DefaultParagraphFont"/>
    <w:unhideWhenUsed/>
    <w:qFormat/>
    <w:rsid w:val="00323BC9"/>
    <w:rPr>
      <w:color w:val="0000FF" w:themeColor="hyperlink"/>
      <w:u w:val="single"/>
    </w:rPr>
  </w:style>
  <w:style w:type="paragraph" w:styleId="ListParagraph">
    <w:name w:val="List Paragraph"/>
    <w:basedOn w:val="Normal"/>
    <w:link w:val="ListParagraphChar"/>
    <w:uiPriority w:val="7"/>
    <w:qFormat/>
    <w:rsid w:val="008446F5"/>
    <w:pPr>
      <w:numPr>
        <w:numId w:val="10"/>
      </w:numPr>
      <w:suppressAutoHyphens/>
      <w:spacing w:before="120"/>
      <w:ind w:left="360"/>
      <w:contextualSpacing/>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semiHidden/>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semiHidden/>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53685B"/>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395D" w:themeColor="accent1"/>
        <w:left w:val="single" w:sz="4" w:space="0" w:color="00395D" w:themeColor="accent1"/>
        <w:bottom w:val="single" w:sz="4" w:space="0" w:color="00395D" w:themeColor="accent1"/>
        <w:right w:val="single" w:sz="4" w:space="0" w:color="00395D" w:themeColor="accent1"/>
      </w:tblBorders>
    </w:tblPr>
    <w:tblStylePr w:type="firstRow">
      <w:rPr>
        <w:b/>
        <w:bCs/>
        <w:color w:val="FFFFFF" w:themeColor="background1"/>
      </w:rPr>
      <w:tblPr/>
      <w:tcPr>
        <w:shd w:val="clear" w:color="auto" w:fill="00395D" w:themeFill="accent1"/>
      </w:tcPr>
    </w:tblStylePr>
    <w:tblStylePr w:type="lastRow">
      <w:rPr>
        <w:b/>
        <w:bCs/>
      </w:rPr>
      <w:tblPr/>
      <w:tcPr>
        <w:tcBorders>
          <w:top w:val="double" w:sz="4" w:space="0" w:color="00395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
    <w:name w:val="WECC Table"/>
    <w:basedOn w:val="ListTable3-Accent1"/>
    <w:uiPriority w:val="99"/>
    <w:rsid w:val="008446F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paragraph" w:styleId="ListBullet">
    <w:name w:val="List Bullet"/>
    <w:basedOn w:val="Normal"/>
    <w:uiPriority w:val="6"/>
    <w:qFormat/>
    <w:rsid w:val="002E1330"/>
    <w:pPr>
      <w:numPr>
        <w:numId w:val="8"/>
      </w:numPr>
      <w:contextualSpacing/>
    </w:pPr>
  </w:style>
  <w:style w:type="paragraph" w:styleId="FootnoteText">
    <w:name w:val="footnote text"/>
    <w:basedOn w:val="Normal"/>
    <w:link w:val="FootnoteTextChar"/>
    <w:uiPriority w:val="99"/>
    <w:qFormat/>
    <w:rsid w:val="008E2D28"/>
    <w:pPr>
      <w:spacing w:line="240" w:lineRule="auto"/>
    </w:pPr>
    <w:rPr>
      <w:sz w:val="20"/>
      <w:szCs w:val="20"/>
    </w:rPr>
  </w:style>
  <w:style w:type="character" w:customStyle="1" w:styleId="FootnoteTextChar">
    <w:name w:val="Footnote Text Char"/>
    <w:basedOn w:val="DefaultParagraphFont"/>
    <w:link w:val="FootnoteText"/>
    <w:uiPriority w:val="99"/>
    <w:rsid w:val="008E2D28"/>
    <w:rPr>
      <w:rFonts w:ascii="Palatino Linotype" w:hAnsi="Palatino Linotype"/>
      <w:sz w:val="20"/>
      <w:szCs w:val="20"/>
    </w:rPr>
  </w:style>
  <w:style w:type="character" w:styleId="FootnoteReference">
    <w:name w:val="footnote reference"/>
    <w:basedOn w:val="DefaultParagraphFont"/>
    <w:uiPriority w:val="99"/>
    <w:unhideWhenUsed/>
    <w:rsid w:val="0053685B"/>
    <w:rPr>
      <w:vertAlign w:val="superscript"/>
    </w:rPr>
  </w:style>
  <w:style w:type="character" w:styleId="UnresolvedMention">
    <w:name w:val="Unresolved Mention"/>
    <w:basedOn w:val="DefaultParagraphFont"/>
    <w:uiPriority w:val="99"/>
    <w:semiHidden/>
    <w:unhideWhenUsed/>
    <w:rsid w:val="00C22CF7"/>
    <w:rPr>
      <w:color w:val="808080"/>
      <w:shd w:val="clear" w:color="auto" w:fill="E6E6E6"/>
    </w:rPr>
  </w:style>
  <w:style w:type="paragraph" w:styleId="Revision">
    <w:name w:val="Revision"/>
    <w:hidden/>
    <w:uiPriority w:val="99"/>
    <w:semiHidden/>
    <w:rsid w:val="0062691A"/>
    <w:pPr>
      <w:spacing w:after="0" w:line="240" w:lineRule="auto"/>
    </w:pPr>
    <w:rPr>
      <w:rFonts w:ascii="Palatino Linotype" w:hAnsi="Palatino Linotype"/>
    </w:rPr>
  </w:style>
  <w:style w:type="paragraph" w:customStyle="1" w:styleId="Normal2">
    <w:name w:val="Normal 2"/>
    <w:basedOn w:val="Normal"/>
    <w:link w:val="Normal2Char"/>
    <w:qFormat/>
    <w:rsid w:val="00FF343F"/>
    <w:pPr>
      <w:spacing w:before="120"/>
      <w:ind w:left="720"/>
    </w:pPr>
  </w:style>
  <w:style w:type="character" w:customStyle="1" w:styleId="Normal2Char">
    <w:name w:val="Normal 2 Char"/>
    <w:basedOn w:val="DefaultParagraphFont"/>
    <w:link w:val="Normal2"/>
    <w:rsid w:val="00FF343F"/>
    <w:rPr>
      <w:rFonts w:ascii="Palatino Linotype" w:hAnsi="Palatino Linotype"/>
    </w:rPr>
  </w:style>
  <w:style w:type="table" w:customStyle="1" w:styleId="WECCTable1">
    <w:name w:val="WECC Table1"/>
    <w:basedOn w:val="ListTable3-Accent1"/>
    <w:uiPriority w:val="99"/>
    <w:rsid w:val="005B679F"/>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character" w:customStyle="1" w:styleId="BoxText">
    <w:name w:val="Box Text"/>
    <w:uiPriority w:val="99"/>
    <w:rsid w:val="00DD448C"/>
    <w:rPr>
      <w:color w:val="3D58A7"/>
      <w:szCs w:val="24"/>
    </w:rPr>
  </w:style>
  <w:style w:type="paragraph" w:customStyle="1" w:styleId="MeetingsLeader">
    <w:name w:val="Meetings Leader"/>
    <w:basedOn w:val="Normal"/>
    <w:link w:val="MeetingsLeaderChar"/>
    <w:uiPriority w:val="6"/>
    <w:qFormat/>
    <w:rsid w:val="00EA0066"/>
    <w:pPr>
      <w:tabs>
        <w:tab w:val="left" w:leader="dot" w:pos="7200"/>
      </w:tabs>
      <w:spacing w:before="120"/>
      <w:ind w:left="720"/>
    </w:pPr>
  </w:style>
  <w:style w:type="character" w:customStyle="1" w:styleId="MeetingsLeaderChar">
    <w:name w:val="Meetings Leader Char"/>
    <w:basedOn w:val="DefaultParagraphFont"/>
    <w:link w:val="MeetingsLeader"/>
    <w:uiPriority w:val="6"/>
    <w:rsid w:val="00EA0066"/>
    <w:rPr>
      <w:rFonts w:ascii="Palatino Linotype" w:hAnsi="Palatino Linotype"/>
    </w:rPr>
  </w:style>
  <w:style w:type="character" w:customStyle="1" w:styleId="ListParagraphChar">
    <w:name w:val="List Paragraph Char"/>
    <w:basedOn w:val="DefaultParagraphFont"/>
    <w:link w:val="ListParagraph"/>
    <w:uiPriority w:val="34"/>
    <w:rsid w:val="004D30E6"/>
    <w:rPr>
      <w:rFonts w:ascii="Palatino Linotype" w:hAnsi="Palatino Linotype"/>
    </w:rPr>
  </w:style>
  <w:style w:type="table" w:customStyle="1" w:styleId="WECCTable11">
    <w:name w:val="WECC Table11"/>
    <w:basedOn w:val="ListTable3-Accent1"/>
    <w:uiPriority w:val="99"/>
    <w:rsid w:val="00207C13"/>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 w:type="table" w:customStyle="1" w:styleId="WECCTableStyle">
    <w:name w:val="WECC Table Style"/>
    <w:basedOn w:val="ListTable3-Accent1"/>
    <w:uiPriority w:val="99"/>
    <w:rsid w:val="00D8761C"/>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666666"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NoSpacing">
    <w:name w:val="No Spacing"/>
    <w:uiPriority w:val="1"/>
    <w:qFormat/>
    <w:rsid w:val="00D8761C"/>
    <w:pPr>
      <w:spacing w:after="0" w:line="240" w:lineRule="auto"/>
    </w:pPr>
  </w:style>
  <w:style w:type="table" w:customStyle="1" w:styleId="WECCTableStyle1">
    <w:name w:val="WECC Table Style1"/>
    <w:basedOn w:val="ListTable3-Accent1"/>
    <w:uiPriority w:val="99"/>
    <w:rsid w:val="00D8761C"/>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666666"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table" w:customStyle="1" w:styleId="WECCTable2">
    <w:name w:val="WECC Table2"/>
    <w:basedOn w:val="ListTable3-Accent1"/>
    <w:uiPriority w:val="99"/>
    <w:rsid w:val="00D8761C"/>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bCs/>
        <w:color w:val="FFFFFF" w:themeColor="background1"/>
      </w:rPr>
      <w:tblPr/>
      <w:tcPr>
        <w:shd w:val="clear" w:color="auto" w:fill="00395D" w:themeFill="accent1"/>
      </w:tcPr>
    </w:tblStylePr>
    <w:tblStylePr w:type="lastRow">
      <w:rPr>
        <w:b w:val="0"/>
        <w:bCs/>
      </w:rPr>
      <w:tblPr/>
      <w:tcPr>
        <w:tcBorders>
          <w:top w:val="double" w:sz="4" w:space="0" w:color="00395D" w:themeColor="accent1"/>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395D" w:themeColor="accent1"/>
          <w:right w:val="single" w:sz="4" w:space="0" w:color="00395D" w:themeColor="accent1"/>
        </w:tcBorders>
      </w:tcPr>
    </w:tblStylePr>
    <w:tblStylePr w:type="band1Horz">
      <w:tblPr/>
      <w:tcPr>
        <w:tcBorders>
          <w:top w:val="single" w:sz="4" w:space="0" w:color="00395D" w:themeColor="accent1"/>
          <w:bottom w:val="single" w:sz="4" w:space="0" w:color="00395D"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double" w:sz="4" w:space="0" w:color="00395D" w:themeColor="accent1"/>
          <w:left w:val="nil"/>
        </w:tcBorders>
      </w:tcPr>
    </w:tblStylePr>
    <w:tblStylePr w:type="swCell">
      <w:tblPr/>
      <w:tcPr>
        <w:tcBorders>
          <w:top w:val="double" w:sz="4" w:space="0" w:color="00395D" w:themeColor="accen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55780">
      <w:bodyDiv w:val="1"/>
      <w:marLeft w:val="0"/>
      <w:marRight w:val="0"/>
      <w:marTop w:val="0"/>
      <w:marBottom w:val="0"/>
      <w:divBdr>
        <w:top w:val="none" w:sz="0" w:space="0" w:color="auto"/>
        <w:left w:val="none" w:sz="0" w:space="0" w:color="auto"/>
        <w:bottom w:val="none" w:sz="0" w:space="0" w:color="auto"/>
        <w:right w:val="none" w:sz="0" w:space="0" w:color="auto"/>
      </w:divBdr>
    </w:div>
    <w:div w:id="52896854">
      <w:bodyDiv w:val="1"/>
      <w:marLeft w:val="0"/>
      <w:marRight w:val="0"/>
      <w:marTop w:val="0"/>
      <w:marBottom w:val="0"/>
      <w:divBdr>
        <w:top w:val="none" w:sz="0" w:space="0" w:color="auto"/>
        <w:left w:val="none" w:sz="0" w:space="0" w:color="auto"/>
        <w:bottom w:val="none" w:sz="0" w:space="0" w:color="auto"/>
        <w:right w:val="none" w:sz="0" w:space="0" w:color="auto"/>
      </w:divBdr>
    </w:div>
    <w:div w:id="92018204">
      <w:bodyDiv w:val="1"/>
      <w:marLeft w:val="0"/>
      <w:marRight w:val="0"/>
      <w:marTop w:val="0"/>
      <w:marBottom w:val="0"/>
      <w:divBdr>
        <w:top w:val="none" w:sz="0" w:space="0" w:color="auto"/>
        <w:left w:val="none" w:sz="0" w:space="0" w:color="auto"/>
        <w:bottom w:val="none" w:sz="0" w:space="0" w:color="auto"/>
        <w:right w:val="none" w:sz="0" w:space="0" w:color="auto"/>
      </w:divBdr>
    </w:div>
    <w:div w:id="124935687">
      <w:bodyDiv w:val="1"/>
      <w:marLeft w:val="0"/>
      <w:marRight w:val="0"/>
      <w:marTop w:val="0"/>
      <w:marBottom w:val="0"/>
      <w:divBdr>
        <w:top w:val="none" w:sz="0" w:space="0" w:color="auto"/>
        <w:left w:val="none" w:sz="0" w:space="0" w:color="auto"/>
        <w:bottom w:val="none" w:sz="0" w:space="0" w:color="auto"/>
        <w:right w:val="none" w:sz="0" w:space="0" w:color="auto"/>
      </w:divBdr>
      <w:divsChild>
        <w:div w:id="542443005">
          <w:marLeft w:val="0"/>
          <w:marRight w:val="0"/>
          <w:marTop w:val="0"/>
          <w:marBottom w:val="0"/>
          <w:divBdr>
            <w:top w:val="none" w:sz="0" w:space="0" w:color="auto"/>
            <w:left w:val="none" w:sz="0" w:space="0" w:color="auto"/>
            <w:bottom w:val="none" w:sz="0" w:space="0" w:color="auto"/>
            <w:right w:val="none" w:sz="0" w:space="0" w:color="auto"/>
          </w:divBdr>
          <w:divsChild>
            <w:div w:id="836647964">
              <w:marLeft w:val="0"/>
              <w:marRight w:val="0"/>
              <w:marTop w:val="100"/>
              <w:marBottom w:val="300"/>
              <w:divBdr>
                <w:top w:val="none" w:sz="0" w:space="0" w:color="auto"/>
                <w:left w:val="none" w:sz="0" w:space="0" w:color="auto"/>
                <w:bottom w:val="none" w:sz="0" w:space="0" w:color="auto"/>
                <w:right w:val="none" w:sz="0" w:space="0" w:color="auto"/>
              </w:divBdr>
              <w:divsChild>
                <w:div w:id="1881084427">
                  <w:marLeft w:val="0"/>
                  <w:marRight w:val="0"/>
                  <w:marTop w:val="0"/>
                  <w:marBottom w:val="0"/>
                  <w:divBdr>
                    <w:top w:val="none" w:sz="0" w:space="0" w:color="auto"/>
                    <w:left w:val="none" w:sz="0" w:space="0" w:color="auto"/>
                    <w:bottom w:val="none" w:sz="0" w:space="0" w:color="auto"/>
                    <w:right w:val="none" w:sz="0" w:space="0" w:color="auto"/>
                  </w:divBdr>
                  <w:divsChild>
                    <w:div w:id="577246749">
                      <w:marLeft w:val="0"/>
                      <w:marRight w:val="0"/>
                      <w:marTop w:val="0"/>
                      <w:marBottom w:val="0"/>
                      <w:divBdr>
                        <w:top w:val="none" w:sz="0" w:space="0" w:color="auto"/>
                        <w:left w:val="none" w:sz="0" w:space="0" w:color="auto"/>
                        <w:bottom w:val="none" w:sz="0" w:space="0" w:color="auto"/>
                        <w:right w:val="none" w:sz="0" w:space="0" w:color="auto"/>
                      </w:divBdr>
                      <w:divsChild>
                        <w:div w:id="362092894">
                          <w:marLeft w:val="0"/>
                          <w:marRight w:val="0"/>
                          <w:marTop w:val="0"/>
                          <w:marBottom w:val="0"/>
                          <w:divBdr>
                            <w:top w:val="none" w:sz="0" w:space="0" w:color="auto"/>
                            <w:left w:val="none" w:sz="0" w:space="0" w:color="auto"/>
                            <w:bottom w:val="none" w:sz="0" w:space="0" w:color="auto"/>
                            <w:right w:val="none" w:sz="0" w:space="0" w:color="auto"/>
                          </w:divBdr>
                          <w:divsChild>
                            <w:div w:id="1109425415">
                              <w:marLeft w:val="0"/>
                              <w:marRight w:val="0"/>
                              <w:marTop w:val="0"/>
                              <w:marBottom w:val="0"/>
                              <w:divBdr>
                                <w:top w:val="none" w:sz="0" w:space="0" w:color="auto"/>
                                <w:left w:val="none" w:sz="0" w:space="0" w:color="auto"/>
                                <w:bottom w:val="none" w:sz="0" w:space="0" w:color="auto"/>
                                <w:right w:val="none" w:sz="0" w:space="0" w:color="auto"/>
                              </w:divBdr>
                              <w:divsChild>
                                <w:div w:id="172406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578984">
      <w:bodyDiv w:val="1"/>
      <w:marLeft w:val="0"/>
      <w:marRight w:val="0"/>
      <w:marTop w:val="0"/>
      <w:marBottom w:val="0"/>
      <w:divBdr>
        <w:top w:val="none" w:sz="0" w:space="0" w:color="auto"/>
        <w:left w:val="none" w:sz="0" w:space="0" w:color="auto"/>
        <w:bottom w:val="none" w:sz="0" w:space="0" w:color="auto"/>
        <w:right w:val="none" w:sz="0" w:space="0" w:color="auto"/>
      </w:divBdr>
    </w:div>
    <w:div w:id="191110157">
      <w:bodyDiv w:val="1"/>
      <w:marLeft w:val="0"/>
      <w:marRight w:val="0"/>
      <w:marTop w:val="0"/>
      <w:marBottom w:val="0"/>
      <w:divBdr>
        <w:top w:val="none" w:sz="0" w:space="0" w:color="auto"/>
        <w:left w:val="none" w:sz="0" w:space="0" w:color="auto"/>
        <w:bottom w:val="none" w:sz="0" w:space="0" w:color="auto"/>
        <w:right w:val="none" w:sz="0" w:space="0" w:color="auto"/>
      </w:divBdr>
    </w:div>
    <w:div w:id="214123883">
      <w:bodyDiv w:val="1"/>
      <w:marLeft w:val="0"/>
      <w:marRight w:val="0"/>
      <w:marTop w:val="0"/>
      <w:marBottom w:val="0"/>
      <w:divBdr>
        <w:top w:val="none" w:sz="0" w:space="0" w:color="auto"/>
        <w:left w:val="none" w:sz="0" w:space="0" w:color="auto"/>
        <w:bottom w:val="none" w:sz="0" w:space="0" w:color="auto"/>
        <w:right w:val="none" w:sz="0" w:space="0" w:color="auto"/>
      </w:divBdr>
    </w:div>
    <w:div w:id="270406203">
      <w:bodyDiv w:val="1"/>
      <w:marLeft w:val="0"/>
      <w:marRight w:val="0"/>
      <w:marTop w:val="0"/>
      <w:marBottom w:val="0"/>
      <w:divBdr>
        <w:top w:val="none" w:sz="0" w:space="0" w:color="auto"/>
        <w:left w:val="none" w:sz="0" w:space="0" w:color="auto"/>
        <w:bottom w:val="none" w:sz="0" w:space="0" w:color="auto"/>
        <w:right w:val="none" w:sz="0" w:space="0" w:color="auto"/>
      </w:divBdr>
    </w:div>
    <w:div w:id="351151105">
      <w:bodyDiv w:val="1"/>
      <w:marLeft w:val="0"/>
      <w:marRight w:val="0"/>
      <w:marTop w:val="0"/>
      <w:marBottom w:val="0"/>
      <w:divBdr>
        <w:top w:val="none" w:sz="0" w:space="0" w:color="auto"/>
        <w:left w:val="none" w:sz="0" w:space="0" w:color="auto"/>
        <w:bottom w:val="none" w:sz="0" w:space="0" w:color="auto"/>
        <w:right w:val="none" w:sz="0" w:space="0" w:color="auto"/>
      </w:divBdr>
    </w:div>
    <w:div w:id="379864326">
      <w:bodyDiv w:val="1"/>
      <w:marLeft w:val="0"/>
      <w:marRight w:val="0"/>
      <w:marTop w:val="0"/>
      <w:marBottom w:val="0"/>
      <w:divBdr>
        <w:top w:val="none" w:sz="0" w:space="0" w:color="auto"/>
        <w:left w:val="none" w:sz="0" w:space="0" w:color="auto"/>
        <w:bottom w:val="none" w:sz="0" w:space="0" w:color="auto"/>
        <w:right w:val="none" w:sz="0" w:space="0" w:color="auto"/>
      </w:divBdr>
      <w:divsChild>
        <w:div w:id="1468551616">
          <w:marLeft w:val="0"/>
          <w:marRight w:val="0"/>
          <w:marTop w:val="0"/>
          <w:marBottom w:val="0"/>
          <w:divBdr>
            <w:top w:val="none" w:sz="0" w:space="0" w:color="auto"/>
            <w:left w:val="none" w:sz="0" w:space="0" w:color="auto"/>
            <w:bottom w:val="none" w:sz="0" w:space="0" w:color="auto"/>
            <w:right w:val="none" w:sz="0" w:space="0" w:color="auto"/>
          </w:divBdr>
          <w:divsChild>
            <w:div w:id="1305433593">
              <w:marLeft w:val="0"/>
              <w:marRight w:val="0"/>
              <w:marTop w:val="100"/>
              <w:marBottom w:val="300"/>
              <w:divBdr>
                <w:top w:val="none" w:sz="0" w:space="0" w:color="auto"/>
                <w:left w:val="none" w:sz="0" w:space="0" w:color="auto"/>
                <w:bottom w:val="none" w:sz="0" w:space="0" w:color="auto"/>
                <w:right w:val="none" w:sz="0" w:space="0" w:color="auto"/>
              </w:divBdr>
              <w:divsChild>
                <w:div w:id="178550744">
                  <w:marLeft w:val="0"/>
                  <w:marRight w:val="0"/>
                  <w:marTop w:val="0"/>
                  <w:marBottom w:val="0"/>
                  <w:divBdr>
                    <w:top w:val="none" w:sz="0" w:space="0" w:color="auto"/>
                    <w:left w:val="none" w:sz="0" w:space="0" w:color="auto"/>
                    <w:bottom w:val="none" w:sz="0" w:space="0" w:color="auto"/>
                    <w:right w:val="none" w:sz="0" w:space="0" w:color="auto"/>
                  </w:divBdr>
                  <w:divsChild>
                    <w:div w:id="1265842327">
                      <w:marLeft w:val="0"/>
                      <w:marRight w:val="0"/>
                      <w:marTop w:val="0"/>
                      <w:marBottom w:val="0"/>
                      <w:divBdr>
                        <w:top w:val="none" w:sz="0" w:space="0" w:color="auto"/>
                        <w:left w:val="none" w:sz="0" w:space="0" w:color="auto"/>
                        <w:bottom w:val="none" w:sz="0" w:space="0" w:color="auto"/>
                        <w:right w:val="none" w:sz="0" w:space="0" w:color="auto"/>
                      </w:divBdr>
                      <w:divsChild>
                        <w:div w:id="1256403521">
                          <w:marLeft w:val="0"/>
                          <w:marRight w:val="0"/>
                          <w:marTop w:val="0"/>
                          <w:marBottom w:val="0"/>
                          <w:divBdr>
                            <w:top w:val="none" w:sz="0" w:space="0" w:color="auto"/>
                            <w:left w:val="none" w:sz="0" w:space="0" w:color="auto"/>
                            <w:bottom w:val="none" w:sz="0" w:space="0" w:color="auto"/>
                            <w:right w:val="none" w:sz="0" w:space="0" w:color="auto"/>
                          </w:divBdr>
                          <w:divsChild>
                            <w:div w:id="1453212839">
                              <w:marLeft w:val="0"/>
                              <w:marRight w:val="0"/>
                              <w:marTop w:val="0"/>
                              <w:marBottom w:val="0"/>
                              <w:divBdr>
                                <w:top w:val="none" w:sz="0" w:space="0" w:color="auto"/>
                                <w:left w:val="none" w:sz="0" w:space="0" w:color="auto"/>
                                <w:bottom w:val="none" w:sz="0" w:space="0" w:color="auto"/>
                                <w:right w:val="none" w:sz="0" w:space="0" w:color="auto"/>
                              </w:divBdr>
                              <w:divsChild>
                                <w:div w:id="1171259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7727">
                          <w:marLeft w:val="0"/>
                          <w:marRight w:val="0"/>
                          <w:marTop w:val="0"/>
                          <w:marBottom w:val="0"/>
                          <w:divBdr>
                            <w:top w:val="none" w:sz="0" w:space="0" w:color="auto"/>
                            <w:left w:val="none" w:sz="0" w:space="0" w:color="auto"/>
                            <w:bottom w:val="none" w:sz="0" w:space="0" w:color="auto"/>
                            <w:right w:val="none" w:sz="0" w:space="0" w:color="auto"/>
                          </w:divBdr>
                          <w:divsChild>
                            <w:div w:id="220138239">
                              <w:marLeft w:val="0"/>
                              <w:marRight w:val="0"/>
                              <w:marTop w:val="0"/>
                              <w:marBottom w:val="0"/>
                              <w:divBdr>
                                <w:top w:val="none" w:sz="0" w:space="0" w:color="auto"/>
                                <w:left w:val="none" w:sz="0" w:space="0" w:color="auto"/>
                                <w:bottom w:val="none" w:sz="0" w:space="0" w:color="auto"/>
                                <w:right w:val="none" w:sz="0" w:space="0" w:color="auto"/>
                              </w:divBdr>
                              <w:divsChild>
                                <w:div w:id="185757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7702303">
      <w:bodyDiv w:val="1"/>
      <w:marLeft w:val="0"/>
      <w:marRight w:val="0"/>
      <w:marTop w:val="0"/>
      <w:marBottom w:val="0"/>
      <w:divBdr>
        <w:top w:val="none" w:sz="0" w:space="0" w:color="auto"/>
        <w:left w:val="none" w:sz="0" w:space="0" w:color="auto"/>
        <w:bottom w:val="none" w:sz="0" w:space="0" w:color="auto"/>
        <w:right w:val="none" w:sz="0" w:space="0" w:color="auto"/>
      </w:divBdr>
    </w:div>
    <w:div w:id="771782873">
      <w:bodyDiv w:val="1"/>
      <w:marLeft w:val="0"/>
      <w:marRight w:val="0"/>
      <w:marTop w:val="0"/>
      <w:marBottom w:val="0"/>
      <w:divBdr>
        <w:top w:val="none" w:sz="0" w:space="0" w:color="auto"/>
        <w:left w:val="none" w:sz="0" w:space="0" w:color="auto"/>
        <w:bottom w:val="none" w:sz="0" w:space="0" w:color="auto"/>
        <w:right w:val="none" w:sz="0" w:space="0" w:color="auto"/>
      </w:divBdr>
    </w:div>
    <w:div w:id="827475554">
      <w:bodyDiv w:val="1"/>
      <w:marLeft w:val="0"/>
      <w:marRight w:val="0"/>
      <w:marTop w:val="0"/>
      <w:marBottom w:val="0"/>
      <w:divBdr>
        <w:top w:val="none" w:sz="0" w:space="0" w:color="auto"/>
        <w:left w:val="none" w:sz="0" w:space="0" w:color="auto"/>
        <w:bottom w:val="none" w:sz="0" w:space="0" w:color="auto"/>
        <w:right w:val="none" w:sz="0" w:space="0" w:color="auto"/>
      </w:divBdr>
    </w:div>
    <w:div w:id="1034768566">
      <w:bodyDiv w:val="1"/>
      <w:marLeft w:val="0"/>
      <w:marRight w:val="0"/>
      <w:marTop w:val="0"/>
      <w:marBottom w:val="0"/>
      <w:divBdr>
        <w:top w:val="none" w:sz="0" w:space="0" w:color="auto"/>
        <w:left w:val="none" w:sz="0" w:space="0" w:color="auto"/>
        <w:bottom w:val="none" w:sz="0" w:space="0" w:color="auto"/>
        <w:right w:val="none" w:sz="0" w:space="0" w:color="auto"/>
      </w:divBdr>
    </w:div>
    <w:div w:id="1152136203">
      <w:bodyDiv w:val="1"/>
      <w:marLeft w:val="0"/>
      <w:marRight w:val="0"/>
      <w:marTop w:val="0"/>
      <w:marBottom w:val="0"/>
      <w:divBdr>
        <w:top w:val="none" w:sz="0" w:space="0" w:color="auto"/>
        <w:left w:val="none" w:sz="0" w:space="0" w:color="auto"/>
        <w:bottom w:val="none" w:sz="0" w:space="0" w:color="auto"/>
        <w:right w:val="none" w:sz="0" w:space="0" w:color="auto"/>
      </w:divBdr>
    </w:div>
    <w:div w:id="1307661067">
      <w:bodyDiv w:val="1"/>
      <w:marLeft w:val="0"/>
      <w:marRight w:val="0"/>
      <w:marTop w:val="0"/>
      <w:marBottom w:val="0"/>
      <w:divBdr>
        <w:top w:val="none" w:sz="0" w:space="0" w:color="auto"/>
        <w:left w:val="none" w:sz="0" w:space="0" w:color="auto"/>
        <w:bottom w:val="none" w:sz="0" w:space="0" w:color="auto"/>
        <w:right w:val="none" w:sz="0" w:space="0" w:color="auto"/>
      </w:divBdr>
    </w:div>
    <w:div w:id="1351295771">
      <w:bodyDiv w:val="1"/>
      <w:marLeft w:val="0"/>
      <w:marRight w:val="0"/>
      <w:marTop w:val="0"/>
      <w:marBottom w:val="0"/>
      <w:divBdr>
        <w:top w:val="none" w:sz="0" w:space="0" w:color="auto"/>
        <w:left w:val="none" w:sz="0" w:space="0" w:color="auto"/>
        <w:bottom w:val="none" w:sz="0" w:space="0" w:color="auto"/>
        <w:right w:val="none" w:sz="0" w:space="0" w:color="auto"/>
      </w:divBdr>
      <w:divsChild>
        <w:div w:id="1028794189">
          <w:marLeft w:val="0"/>
          <w:marRight w:val="0"/>
          <w:marTop w:val="0"/>
          <w:marBottom w:val="0"/>
          <w:divBdr>
            <w:top w:val="none" w:sz="0" w:space="0" w:color="auto"/>
            <w:left w:val="none" w:sz="0" w:space="0" w:color="auto"/>
            <w:bottom w:val="none" w:sz="0" w:space="0" w:color="auto"/>
            <w:right w:val="none" w:sz="0" w:space="0" w:color="auto"/>
          </w:divBdr>
          <w:divsChild>
            <w:div w:id="1933319181">
              <w:marLeft w:val="0"/>
              <w:marRight w:val="0"/>
              <w:marTop w:val="0"/>
              <w:marBottom w:val="0"/>
              <w:divBdr>
                <w:top w:val="none" w:sz="0" w:space="0" w:color="auto"/>
                <w:left w:val="none" w:sz="0" w:space="0" w:color="auto"/>
                <w:bottom w:val="none" w:sz="0" w:space="0" w:color="auto"/>
                <w:right w:val="none" w:sz="0" w:space="0" w:color="auto"/>
              </w:divBdr>
              <w:divsChild>
                <w:div w:id="146978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581974">
      <w:bodyDiv w:val="1"/>
      <w:marLeft w:val="0"/>
      <w:marRight w:val="0"/>
      <w:marTop w:val="0"/>
      <w:marBottom w:val="0"/>
      <w:divBdr>
        <w:top w:val="none" w:sz="0" w:space="0" w:color="auto"/>
        <w:left w:val="none" w:sz="0" w:space="0" w:color="auto"/>
        <w:bottom w:val="none" w:sz="0" w:space="0" w:color="auto"/>
        <w:right w:val="none" w:sz="0" w:space="0" w:color="auto"/>
      </w:divBdr>
    </w:div>
    <w:div w:id="1435905501">
      <w:bodyDiv w:val="1"/>
      <w:marLeft w:val="0"/>
      <w:marRight w:val="0"/>
      <w:marTop w:val="0"/>
      <w:marBottom w:val="0"/>
      <w:divBdr>
        <w:top w:val="none" w:sz="0" w:space="0" w:color="auto"/>
        <w:left w:val="none" w:sz="0" w:space="0" w:color="auto"/>
        <w:bottom w:val="none" w:sz="0" w:space="0" w:color="auto"/>
        <w:right w:val="none" w:sz="0" w:space="0" w:color="auto"/>
      </w:divBdr>
    </w:div>
    <w:div w:id="1457405333">
      <w:bodyDiv w:val="1"/>
      <w:marLeft w:val="0"/>
      <w:marRight w:val="0"/>
      <w:marTop w:val="0"/>
      <w:marBottom w:val="0"/>
      <w:divBdr>
        <w:top w:val="none" w:sz="0" w:space="0" w:color="auto"/>
        <w:left w:val="none" w:sz="0" w:space="0" w:color="auto"/>
        <w:bottom w:val="none" w:sz="0" w:space="0" w:color="auto"/>
        <w:right w:val="none" w:sz="0" w:space="0" w:color="auto"/>
      </w:divBdr>
    </w:div>
    <w:div w:id="1467429640">
      <w:bodyDiv w:val="1"/>
      <w:marLeft w:val="0"/>
      <w:marRight w:val="0"/>
      <w:marTop w:val="0"/>
      <w:marBottom w:val="0"/>
      <w:divBdr>
        <w:top w:val="none" w:sz="0" w:space="0" w:color="auto"/>
        <w:left w:val="none" w:sz="0" w:space="0" w:color="auto"/>
        <w:bottom w:val="none" w:sz="0" w:space="0" w:color="auto"/>
        <w:right w:val="none" w:sz="0" w:space="0" w:color="auto"/>
      </w:divBdr>
    </w:div>
    <w:div w:id="1491485364">
      <w:bodyDiv w:val="1"/>
      <w:marLeft w:val="0"/>
      <w:marRight w:val="0"/>
      <w:marTop w:val="0"/>
      <w:marBottom w:val="0"/>
      <w:divBdr>
        <w:top w:val="none" w:sz="0" w:space="0" w:color="auto"/>
        <w:left w:val="none" w:sz="0" w:space="0" w:color="auto"/>
        <w:bottom w:val="none" w:sz="0" w:space="0" w:color="auto"/>
        <w:right w:val="none" w:sz="0" w:space="0" w:color="auto"/>
      </w:divBdr>
    </w:div>
    <w:div w:id="1496646347">
      <w:bodyDiv w:val="1"/>
      <w:marLeft w:val="0"/>
      <w:marRight w:val="0"/>
      <w:marTop w:val="0"/>
      <w:marBottom w:val="0"/>
      <w:divBdr>
        <w:top w:val="none" w:sz="0" w:space="0" w:color="auto"/>
        <w:left w:val="none" w:sz="0" w:space="0" w:color="auto"/>
        <w:bottom w:val="none" w:sz="0" w:space="0" w:color="auto"/>
        <w:right w:val="none" w:sz="0" w:space="0" w:color="auto"/>
      </w:divBdr>
    </w:div>
    <w:div w:id="1632978470">
      <w:bodyDiv w:val="1"/>
      <w:marLeft w:val="0"/>
      <w:marRight w:val="0"/>
      <w:marTop w:val="0"/>
      <w:marBottom w:val="0"/>
      <w:divBdr>
        <w:top w:val="none" w:sz="0" w:space="0" w:color="auto"/>
        <w:left w:val="none" w:sz="0" w:space="0" w:color="auto"/>
        <w:bottom w:val="none" w:sz="0" w:space="0" w:color="auto"/>
        <w:right w:val="none" w:sz="0" w:space="0" w:color="auto"/>
      </w:divBdr>
    </w:div>
    <w:div w:id="1642734151">
      <w:bodyDiv w:val="1"/>
      <w:marLeft w:val="0"/>
      <w:marRight w:val="0"/>
      <w:marTop w:val="0"/>
      <w:marBottom w:val="0"/>
      <w:divBdr>
        <w:top w:val="none" w:sz="0" w:space="0" w:color="auto"/>
        <w:left w:val="none" w:sz="0" w:space="0" w:color="auto"/>
        <w:bottom w:val="none" w:sz="0" w:space="0" w:color="auto"/>
        <w:right w:val="none" w:sz="0" w:space="0" w:color="auto"/>
      </w:divBdr>
    </w:div>
    <w:div w:id="1662847165">
      <w:bodyDiv w:val="1"/>
      <w:marLeft w:val="0"/>
      <w:marRight w:val="0"/>
      <w:marTop w:val="0"/>
      <w:marBottom w:val="0"/>
      <w:divBdr>
        <w:top w:val="none" w:sz="0" w:space="0" w:color="auto"/>
        <w:left w:val="none" w:sz="0" w:space="0" w:color="auto"/>
        <w:bottom w:val="none" w:sz="0" w:space="0" w:color="auto"/>
        <w:right w:val="none" w:sz="0" w:space="0" w:color="auto"/>
      </w:divBdr>
    </w:div>
    <w:div w:id="1823082766">
      <w:bodyDiv w:val="1"/>
      <w:marLeft w:val="0"/>
      <w:marRight w:val="0"/>
      <w:marTop w:val="0"/>
      <w:marBottom w:val="0"/>
      <w:divBdr>
        <w:top w:val="none" w:sz="0" w:space="0" w:color="auto"/>
        <w:left w:val="none" w:sz="0" w:space="0" w:color="auto"/>
        <w:bottom w:val="none" w:sz="0" w:space="0" w:color="auto"/>
        <w:right w:val="none" w:sz="0" w:space="0" w:color="auto"/>
      </w:divBdr>
      <w:divsChild>
        <w:div w:id="1442147312">
          <w:marLeft w:val="0"/>
          <w:marRight w:val="0"/>
          <w:marTop w:val="0"/>
          <w:marBottom w:val="0"/>
          <w:divBdr>
            <w:top w:val="none" w:sz="0" w:space="0" w:color="auto"/>
            <w:left w:val="none" w:sz="0" w:space="0" w:color="auto"/>
            <w:bottom w:val="none" w:sz="0" w:space="0" w:color="auto"/>
            <w:right w:val="none" w:sz="0" w:space="0" w:color="auto"/>
          </w:divBdr>
          <w:divsChild>
            <w:div w:id="435640205">
              <w:marLeft w:val="0"/>
              <w:marRight w:val="0"/>
              <w:marTop w:val="100"/>
              <w:marBottom w:val="300"/>
              <w:divBdr>
                <w:top w:val="none" w:sz="0" w:space="0" w:color="auto"/>
                <w:left w:val="none" w:sz="0" w:space="0" w:color="auto"/>
                <w:bottom w:val="none" w:sz="0" w:space="0" w:color="auto"/>
                <w:right w:val="none" w:sz="0" w:space="0" w:color="auto"/>
              </w:divBdr>
              <w:divsChild>
                <w:div w:id="424155355">
                  <w:marLeft w:val="0"/>
                  <w:marRight w:val="0"/>
                  <w:marTop w:val="0"/>
                  <w:marBottom w:val="0"/>
                  <w:divBdr>
                    <w:top w:val="none" w:sz="0" w:space="0" w:color="auto"/>
                    <w:left w:val="none" w:sz="0" w:space="0" w:color="auto"/>
                    <w:bottom w:val="none" w:sz="0" w:space="0" w:color="auto"/>
                    <w:right w:val="none" w:sz="0" w:space="0" w:color="auto"/>
                  </w:divBdr>
                  <w:divsChild>
                    <w:div w:id="1864006689">
                      <w:marLeft w:val="0"/>
                      <w:marRight w:val="0"/>
                      <w:marTop w:val="0"/>
                      <w:marBottom w:val="0"/>
                      <w:divBdr>
                        <w:top w:val="none" w:sz="0" w:space="0" w:color="auto"/>
                        <w:left w:val="none" w:sz="0" w:space="0" w:color="auto"/>
                        <w:bottom w:val="none" w:sz="0" w:space="0" w:color="auto"/>
                        <w:right w:val="none" w:sz="0" w:space="0" w:color="auto"/>
                      </w:divBdr>
                      <w:divsChild>
                        <w:div w:id="2126579771">
                          <w:marLeft w:val="0"/>
                          <w:marRight w:val="0"/>
                          <w:marTop w:val="0"/>
                          <w:marBottom w:val="0"/>
                          <w:divBdr>
                            <w:top w:val="none" w:sz="0" w:space="0" w:color="auto"/>
                            <w:left w:val="none" w:sz="0" w:space="0" w:color="auto"/>
                            <w:bottom w:val="none" w:sz="0" w:space="0" w:color="auto"/>
                            <w:right w:val="none" w:sz="0" w:space="0" w:color="auto"/>
                          </w:divBdr>
                          <w:divsChild>
                            <w:div w:id="400567219">
                              <w:marLeft w:val="0"/>
                              <w:marRight w:val="0"/>
                              <w:marTop w:val="0"/>
                              <w:marBottom w:val="0"/>
                              <w:divBdr>
                                <w:top w:val="none" w:sz="0" w:space="0" w:color="auto"/>
                                <w:left w:val="none" w:sz="0" w:space="0" w:color="auto"/>
                                <w:bottom w:val="none" w:sz="0" w:space="0" w:color="auto"/>
                                <w:right w:val="none" w:sz="0" w:space="0" w:color="auto"/>
                              </w:divBdr>
                              <w:divsChild>
                                <w:div w:id="183024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9419680">
      <w:bodyDiv w:val="1"/>
      <w:marLeft w:val="0"/>
      <w:marRight w:val="0"/>
      <w:marTop w:val="0"/>
      <w:marBottom w:val="0"/>
      <w:divBdr>
        <w:top w:val="none" w:sz="0" w:space="0" w:color="auto"/>
        <w:left w:val="none" w:sz="0" w:space="0" w:color="auto"/>
        <w:bottom w:val="none" w:sz="0" w:space="0" w:color="auto"/>
        <w:right w:val="none" w:sz="0" w:space="0" w:color="auto"/>
      </w:divBdr>
    </w:div>
    <w:div w:id="1946496778">
      <w:bodyDiv w:val="1"/>
      <w:marLeft w:val="0"/>
      <w:marRight w:val="0"/>
      <w:marTop w:val="0"/>
      <w:marBottom w:val="0"/>
      <w:divBdr>
        <w:top w:val="none" w:sz="0" w:space="0" w:color="auto"/>
        <w:left w:val="none" w:sz="0" w:space="0" w:color="auto"/>
        <w:bottom w:val="none" w:sz="0" w:space="0" w:color="auto"/>
        <w:right w:val="none" w:sz="0" w:space="0" w:color="auto"/>
      </w:divBdr>
    </w:div>
    <w:div w:id="1953777988">
      <w:bodyDiv w:val="1"/>
      <w:marLeft w:val="0"/>
      <w:marRight w:val="0"/>
      <w:marTop w:val="0"/>
      <w:marBottom w:val="0"/>
      <w:divBdr>
        <w:top w:val="none" w:sz="0" w:space="0" w:color="auto"/>
        <w:left w:val="none" w:sz="0" w:space="0" w:color="auto"/>
        <w:bottom w:val="none" w:sz="0" w:space="0" w:color="auto"/>
        <w:right w:val="none" w:sz="0" w:space="0" w:color="auto"/>
      </w:divBdr>
    </w:div>
    <w:div w:id="2037776895">
      <w:bodyDiv w:val="1"/>
      <w:marLeft w:val="0"/>
      <w:marRight w:val="0"/>
      <w:marTop w:val="0"/>
      <w:marBottom w:val="0"/>
      <w:divBdr>
        <w:top w:val="none" w:sz="0" w:space="0" w:color="auto"/>
        <w:left w:val="none" w:sz="0" w:space="0" w:color="auto"/>
        <w:bottom w:val="none" w:sz="0" w:space="0" w:color="auto"/>
        <w:right w:val="none" w:sz="0" w:space="0" w:color="auto"/>
      </w:divBdr>
    </w:div>
    <w:div w:id="2070882854">
      <w:bodyDiv w:val="1"/>
      <w:marLeft w:val="0"/>
      <w:marRight w:val="0"/>
      <w:marTop w:val="0"/>
      <w:marBottom w:val="0"/>
      <w:divBdr>
        <w:top w:val="none" w:sz="0" w:space="0" w:color="auto"/>
        <w:left w:val="none" w:sz="0" w:space="0" w:color="auto"/>
        <w:bottom w:val="none" w:sz="0" w:space="0" w:color="auto"/>
        <w:right w:val="none" w:sz="0" w:space="0" w:color="auto"/>
      </w:divBdr>
    </w:div>
    <w:div w:id="2113430100">
      <w:bodyDiv w:val="1"/>
      <w:marLeft w:val="0"/>
      <w:marRight w:val="0"/>
      <w:marTop w:val="0"/>
      <w:marBottom w:val="0"/>
      <w:divBdr>
        <w:top w:val="none" w:sz="0" w:space="0" w:color="auto"/>
        <w:left w:val="none" w:sz="0" w:space="0" w:color="auto"/>
        <w:bottom w:val="none" w:sz="0" w:space="0" w:color="auto"/>
        <w:right w:val="none" w:sz="0" w:space="0" w:color="auto"/>
      </w:divBdr>
    </w:div>
    <w:div w:id="2130128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black@wecc.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BasicDocument.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6264</AccountId>
        <AccountType/>
      </UserInfo>
    </Approver>
    <_dlc_DocId xmlns="4bd63098-0c83-43cf-abdd-085f2cc55a51">YWEQ7USXTMD7-3-13853</_dlc_DocId>
    <_dlc_DocIdUrl xmlns="4bd63098-0c83-43cf-abdd-085f2cc55a51">
      <Url>https://internal.wecc.org/_layouts/15/DocIdRedir.aspx?ID=YWEQ7USXTMD7-3-13853</Url>
      <Description>YWEQ7USXTMD7-3-13853</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F475EF-4E92-42A6-8A38-FF33D35FE746}">
  <ds:schemaRefs>
    <ds:schemaRef ds:uri="http://schemas.openxmlformats.org/officeDocument/2006/bibliography"/>
  </ds:schemaRefs>
</ds:datastoreItem>
</file>

<file path=customXml/itemProps2.xml><?xml version="1.0" encoding="utf-8"?>
<ds:datastoreItem xmlns:ds="http://schemas.openxmlformats.org/officeDocument/2006/customXml" ds:itemID="{EC9198E6-AE6F-4B9E-A586-D6F4FF384D65}">
  <ds:schemaRefs>
    <ds:schemaRef ds:uri="http://schemas.microsoft.com/sharepoint/events"/>
  </ds:schemaRefs>
</ds:datastoreItem>
</file>

<file path=customXml/itemProps3.xml><?xml version="1.0" encoding="utf-8"?>
<ds:datastoreItem xmlns:ds="http://schemas.openxmlformats.org/officeDocument/2006/customXml" ds:itemID="{C520FA0B-A7AC-4D28-8117-BA5925F7216F}"/>
</file>

<file path=customXml/itemProps4.xml><?xml version="1.0" encoding="utf-8"?>
<ds:datastoreItem xmlns:ds="http://schemas.openxmlformats.org/officeDocument/2006/customXml" ds:itemID="{EC62F292-9177-4C6F-BAB9-0FCB6C2636BF}">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21F1B17A-C2F9-47A9-BF1A-833AE297B8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BasicDocument</Template>
  <TotalTime>3</TotalTime>
  <Pages>13</Pages>
  <Words>3207</Words>
  <Characters>18281</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WECC-0149 FAC-501-WECC-4 Transmission Maint  - Posting 2 - Response to Comments</vt:lpstr>
    </vt:vector>
  </TitlesOfParts>
  <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R07 Response NERC 45 WECC-0141</dc:title>
  <dc:subject/>
  <dc:creator>Coleman, Chad</dc:creator>
  <cp:keywords>NERCFilings; WECC-0149; NERC Filings</cp:keywords>
  <dc:description/>
  <cp:lastModifiedBy>Black, Shannon</cp:lastModifiedBy>
  <cp:revision>3</cp:revision>
  <cp:lastPrinted>2022-04-28T17:25:00Z</cp:lastPrinted>
  <dcterms:created xsi:type="dcterms:W3CDTF">2023-10-26T21:47:00Z</dcterms:created>
  <dcterms:modified xsi:type="dcterms:W3CDTF">2024-02-29T20:17:00Z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ae193c89-7448-498e-a247-3931be1852c9</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2023-07-13T18:01:34Z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8c1f8df5-db1f-46fd-9efe-c9edfd191371</vt:lpwstr>
  </property>
  <property fmtid="{D5CDD505-2E9C-101B-9397-08002B2CF9AE}" pid="14" name="MSIP_Label_878e9819-3d07-47f7-9697-834686d925a0_ContentBits">
    <vt:lpwstr>1</vt:lpwstr>
  </property>
</Properties>
</file>