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2BD3" w14:textId="7CCECD8F" w:rsidR="00323BC9" w:rsidRDefault="002A4741" w:rsidP="00BB3995">
      <w:pPr>
        <w:pStyle w:val="Heading1"/>
      </w:pPr>
      <w:r>
        <w:t>Minority Issues</w:t>
      </w:r>
      <w:r w:rsidR="002910DC">
        <w:t>—</w:t>
      </w:r>
      <w:r>
        <w:t>WECC-014</w:t>
      </w:r>
      <w:r w:rsidR="00AF6FF3">
        <w:t>9</w:t>
      </w:r>
      <w:r w:rsidR="00B45FB1">
        <w:t xml:space="preserve"> </w:t>
      </w:r>
    </w:p>
    <w:p w14:paraId="4B404548" w14:textId="507105D0" w:rsidR="00F9454C" w:rsidRDefault="00F9454C" w:rsidP="007B6435">
      <w:r>
        <w:t>Before receiving separate 100%</w:t>
      </w:r>
      <w:r w:rsidR="002910DC">
        <w:t>-</w:t>
      </w:r>
      <w:r>
        <w:t xml:space="preserve">affirmative ballots on WECC-0141 and WECC-0149, the following minority issues were resolved. </w:t>
      </w:r>
    </w:p>
    <w:p w14:paraId="18EE581B" w14:textId="3721029A" w:rsidR="00F9454C" w:rsidRDefault="00F9454C" w:rsidP="007B6435">
      <w:r w:rsidRPr="00F9454C">
        <w:t>Minority Issues can be reviewed in their entirety on the WECC-014</w:t>
      </w:r>
      <w:r w:rsidR="00AF6FF3">
        <w:t>9</w:t>
      </w:r>
      <w:r w:rsidRPr="00F9454C">
        <w:t xml:space="preserve"> Project Page, on the Submit and Review Comments accordion, as part of the associated Response to Comments for each posting.</w:t>
      </w:r>
      <w:r w:rsidR="002910DC">
        <w:t xml:space="preserve"> </w:t>
      </w:r>
    </w:p>
    <w:p w14:paraId="31E04201" w14:textId="7AEBF0D5" w:rsidR="00394B84" w:rsidRPr="00394B84" w:rsidRDefault="00394B84" w:rsidP="00A66A31">
      <w:pPr>
        <w:pStyle w:val="Heading2"/>
      </w:pPr>
      <w:r w:rsidRPr="00394B84">
        <w:t>WECC-014</w:t>
      </w:r>
      <w:r w:rsidR="00AF6FF3">
        <w:t>9</w:t>
      </w:r>
      <w:r w:rsidRPr="00394B84">
        <w:t xml:space="preserve"> Posting </w:t>
      </w:r>
      <w:r w:rsidR="00AF6FF3">
        <w:t>1</w:t>
      </w:r>
    </w:p>
    <w:p w14:paraId="362F0476" w14:textId="4F8CB53E" w:rsidR="00F9454C" w:rsidRDefault="00394B84" w:rsidP="00394B84">
      <w:r w:rsidRPr="00394B84">
        <w:t xml:space="preserve">The </w:t>
      </w:r>
      <w:r w:rsidR="00F9454C">
        <w:t xml:space="preserve">minority voiced concern that: </w:t>
      </w:r>
    </w:p>
    <w:p w14:paraId="0CCDB001" w14:textId="4FE1841F" w:rsidR="00AF6FF3" w:rsidRDefault="00AF6FF3" w:rsidP="00647AB4">
      <w:pPr>
        <w:pStyle w:val="ListParagraph"/>
        <w:numPr>
          <w:ilvl w:val="0"/>
          <w:numId w:val="30"/>
        </w:numPr>
      </w:pPr>
      <w:r>
        <w:t>The phrase “Requesting Entity” (RE) should not be used</w:t>
      </w:r>
      <w:r w:rsidR="002910DC">
        <w:t>,</w:t>
      </w:r>
      <w:r>
        <w:t xml:space="preserve"> as it could add confusion to the process.</w:t>
      </w:r>
      <w:r w:rsidR="002910DC">
        <w:t xml:space="preserve"> </w:t>
      </w:r>
      <w:r>
        <w:t xml:space="preserve">The DT concluded that even though RE is an abbreviation used variously in multiple documents, its use is clearly defined in the four corners of the </w:t>
      </w:r>
      <w:r w:rsidR="008A2594">
        <w:t xml:space="preserve">Table Revision </w:t>
      </w:r>
      <w:r>
        <w:t>Process</w:t>
      </w:r>
      <w:r w:rsidR="008A2594">
        <w:t xml:space="preserve"> (Process)</w:t>
      </w:r>
      <w:r>
        <w:t>—thereby avoiding confusion.</w:t>
      </w:r>
    </w:p>
    <w:p w14:paraId="31C376E9" w14:textId="60ADAB84" w:rsidR="00AF6FF3" w:rsidRDefault="00AF6FF3" w:rsidP="004F1B96">
      <w:pPr>
        <w:pStyle w:val="ListParagraph"/>
        <w:numPr>
          <w:ilvl w:val="0"/>
          <w:numId w:val="30"/>
        </w:numPr>
      </w:pPr>
      <w:r>
        <w:t>The word “requirements” should not be used in the revision process.</w:t>
      </w:r>
      <w:r w:rsidR="002910DC">
        <w:t xml:space="preserve"> </w:t>
      </w:r>
      <w:r>
        <w:t>The DT disagreed noting that</w:t>
      </w:r>
      <w:r w:rsidR="002910DC">
        <w:t>,</w:t>
      </w:r>
      <w:r>
        <w:t xml:space="preserve"> although the process is not a Standard, the mandated steps are “required” if the petitioning entity wishes to make requested changes.</w:t>
      </w:r>
      <w:r w:rsidR="002910DC">
        <w:t xml:space="preserve"> </w:t>
      </w:r>
      <w:r w:rsidR="005D2C06">
        <w:t>Although the Table Revision Process (Process) is not a Standard, it is nonetheless proposed to be a WECC/NERC/FERC-approved document like the WECC Reliability Standards Development Procedures (Procedures).</w:t>
      </w:r>
      <w:r w:rsidR="002910DC">
        <w:t xml:space="preserve"> </w:t>
      </w:r>
      <w:r w:rsidR="005D2C06">
        <w:t xml:space="preserve">Neither document is a Standard; but, both documents create mandates and not suggestions. </w:t>
      </w:r>
    </w:p>
    <w:p w14:paraId="7CC279EB" w14:textId="7352F8B7" w:rsidR="00AF6FF3" w:rsidRDefault="00AF6FF3" w:rsidP="005F58ED">
      <w:pPr>
        <w:pStyle w:val="ListParagraph"/>
        <w:numPr>
          <w:ilvl w:val="0"/>
          <w:numId w:val="30"/>
        </w:numPr>
      </w:pPr>
      <w:r>
        <w:t>Definitions should be developed for</w:t>
      </w:r>
      <w:r w:rsidR="008A2594">
        <w:t xml:space="preserve"> the words</w:t>
      </w:r>
      <w:r>
        <w:t xml:space="preserve"> </w:t>
      </w:r>
      <w:r w:rsidRPr="00AF6FF3">
        <w:rPr>
          <w:i/>
          <w:iCs/>
        </w:rPr>
        <w:t>generic</w:t>
      </w:r>
      <w:r>
        <w:t xml:space="preserve">, </w:t>
      </w:r>
      <w:r w:rsidRPr="00AF6FF3">
        <w:rPr>
          <w:i/>
          <w:iCs/>
        </w:rPr>
        <w:t>specific</w:t>
      </w:r>
      <w:r>
        <w:t xml:space="preserve">, </w:t>
      </w:r>
      <w:r w:rsidRPr="00AF6FF3">
        <w:rPr>
          <w:i/>
          <w:iCs/>
        </w:rPr>
        <w:t>procedural</w:t>
      </w:r>
      <w:r>
        <w:t xml:space="preserve">, and </w:t>
      </w:r>
      <w:r w:rsidRPr="00AF6FF3">
        <w:rPr>
          <w:i/>
          <w:iCs/>
        </w:rPr>
        <w:t>substantive</w:t>
      </w:r>
      <w:r>
        <w:rPr>
          <w:i/>
          <w:iCs/>
        </w:rPr>
        <w:t>.</w:t>
      </w:r>
      <w:r w:rsidR="002910DC">
        <w:rPr>
          <w:i/>
          <w:iCs/>
        </w:rPr>
        <w:t xml:space="preserve"> </w:t>
      </w:r>
      <w:r>
        <w:t xml:space="preserve">The DT disagreed noting that the Oxford </w:t>
      </w:r>
      <w:r w:rsidR="005D2C06">
        <w:t xml:space="preserve">Dictionary </w:t>
      </w:r>
      <w:r>
        <w:t xml:space="preserve">definition would serve the purpose. </w:t>
      </w:r>
    </w:p>
    <w:p w14:paraId="16B49331" w14:textId="5FE47B5F" w:rsidR="00AF6FF3" w:rsidRDefault="00AF6FF3" w:rsidP="004C6597">
      <w:pPr>
        <w:pStyle w:val="ListParagraph"/>
        <w:numPr>
          <w:ilvl w:val="0"/>
          <w:numId w:val="30"/>
        </w:numPr>
      </w:pPr>
      <w:r>
        <w:t>The WECC Path Rating Catalogue and the WECC-0149 FAC-501-WECC-4, Attachment B listing should be identical.</w:t>
      </w:r>
      <w:r w:rsidR="002910DC">
        <w:t xml:space="preserve"> </w:t>
      </w:r>
      <w:r w:rsidR="005D2C06">
        <w:t>The DT agreed with the conclusion but noted that the two documents have separate purposes; thus, two lists may be an acceptable outcome.</w:t>
      </w:r>
      <w:r w:rsidR="002910DC">
        <w:t xml:space="preserve"> </w:t>
      </w:r>
      <w:r w:rsidR="005D2C06">
        <w:t>Also, changes to the Catalogue are outside of the scope of this project.</w:t>
      </w:r>
      <w:r w:rsidR="002910DC">
        <w:t xml:space="preserve"> </w:t>
      </w:r>
    </w:p>
    <w:p w14:paraId="061A4F67" w14:textId="084EFC14" w:rsidR="00AF6FF3" w:rsidRDefault="00AF6FF3" w:rsidP="00394B84">
      <w:r>
        <w:t xml:space="preserve">Various unsupported </w:t>
      </w:r>
      <w:r w:rsidR="002910DC">
        <w:t>n</w:t>
      </w:r>
      <w:r>
        <w:t>on-</w:t>
      </w:r>
      <w:r w:rsidR="002910DC">
        <w:t>s</w:t>
      </w:r>
      <w:r>
        <w:t>ubstantive changes were not adopted.</w:t>
      </w:r>
    </w:p>
    <w:p w14:paraId="3A64DA64" w14:textId="4A103692" w:rsidR="00AF6FF3" w:rsidRPr="00394B84" w:rsidRDefault="00AF6FF3" w:rsidP="00A66A31">
      <w:pPr>
        <w:pStyle w:val="Heading2"/>
      </w:pPr>
      <w:r w:rsidRPr="00394B84">
        <w:t>WECC-014</w:t>
      </w:r>
      <w:r>
        <w:t>9</w:t>
      </w:r>
      <w:r w:rsidRPr="00394B84">
        <w:t xml:space="preserve"> Posting </w:t>
      </w:r>
      <w:r>
        <w:t>2</w:t>
      </w:r>
      <w:r w:rsidR="005D2C06">
        <w:t xml:space="preserve"> and NERC’s 45-Day Posting for Comment</w:t>
      </w:r>
    </w:p>
    <w:p w14:paraId="3EF5560D" w14:textId="197CD5A7" w:rsidR="00426BCF" w:rsidRDefault="00AF6FF3" w:rsidP="00AF6FF3">
      <w:r>
        <w:t>No Minority Issue</w:t>
      </w:r>
      <w:r w:rsidR="002910DC">
        <w:t>s</w:t>
      </w:r>
      <w:r>
        <w:t xml:space="preserve"> were raised. </w:t>
      </w:r>
    </w:p>
    <w:sectPr w:rsidR="00426BCF" w:rsidSect="00BB39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BDC8" w14:textId="77777777" w:rsidR="00D636B1" w:rsidRDefault="00D636B1" w:rsidP="00E60569">
      <w:r>
        <w:separator/>
      </w:r>
    </w:p>
    <w:p w14:paraId="78968130" w14:textId="77777777" w:rsidR="00D636B1" w:rsidRDefault="00D636B1" w:rsidP="00E60569"/>
  </w:endnote>
  <w:endnote w:type="continuationSeparator" w:id="0">
    <w:p w14:paraId="78D0B66D" w14:textId="77777777" w:rsidR="00D636B1" w:rsidRDefault="00D636B1" w:rsidP="00E60569">
      <w:r>
        <w:continuationSeparator/>
      </w:r>
    </w:p>
    <w:p w14:paraId="79F36C3B" w14:textId="77777777" w:rsidR="00D636B1" w:rsidRDefault="00D636B1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3376617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5AA25587" wp14:editId="20B812BB">
              <wp:extent cx="413846" cy="274320"/>
              <wp:effectExtent l="0" t="0" r="5715" b="0"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A04584">
          <w:rPr>
            <w:b w:val="0"/>
            <w:sz w:val="22"/>
          </w:rPr>
          <w:t>3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648C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AC0B" w14:textId="77777777" w:rsidR="00D636B1" w:rsidRDefault="00D636B1" w:rsidP="00E60569">
      <w:r>
        <w:separator/>
      </w:r>
    </w:p>
  </w:footnote>
  <w:footnote w:type="continuationSeparator" w:id="0">
    <w:p w14:paraId="40136050" w14:textId="77777777" w:rsidR="00D636B1" w:rsidRDefault="00D636B1" w:rsidP="00E60569">
      <w:r>
        <w:continuationSeparator/>
      </w:r>
    </w:p>
    <w:p w14:paraId="4262A358" w14:textId="77777777" w:rsidR="00D636B1" w:rsidRDefault="00D636B1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AFB9" w14:textId="3FF14279" w:rsidR="00BC216E" w:rsidRDefault="00BC216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58FF559" wp14:editId="44EBA9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E875F" w14:textId="4E7C0208" w:rsidR="00BC216E" w:rsidRPr="00BC216E" w:rsidRDefault="00BC216E" w:rsidP="00BC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FF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D5E875F" w14:textId="4E7C0208" w:rsidR="00BC216E" w:rsidRPr="00BC216E" w:rsidRDefault="00BC216E" w:rsidP="00BC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9CAB1" w14:textId="01117D3E" w:rsidR="00E115FD" w:rsidRPr="00636EFE" w:rsidRDefault="00BC216E" w:rsidP="00636EFE">
    <w:pPr>
      <w:pStyle w:val="Header"/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24898CB" wp14:editId="4F51C9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ABF55" w14:textId="043B25EE" w:rsidR="00BC216E" w:rsidRPr="00BC216E" w:rsidRDefault="00BC216E" w:rsidP="00BC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898C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26ABF55" w14:textId="043B25EE" w:rsidR="00BC216E" w:rsidRPr="00BC216E" w:rsidRDefault="00BC216E" w:rsidP="00BC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36EFE" w:rsidRPr="00636EFE">
      <w:rPr>
        <w:sz w:val="22"/>
      </w:rPr>
      <w:t xml:space="preserve">Attachment </w:t>
    </w:r>
    <w:r w:rsidR="00426BCF">
      <w:rPr>
        <w:sz w:val="22"/>
      </w:rPr>
      <w:t>P-1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A34" w14:textId="78634EC9" w:rsidR="00B45FB1" w:rsidRDefault="00BC216E" w:rsidP="002910DC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B0B147" wp14:editId="31763722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5D4078" w14:textId="737F3187" w:rsidR="00BC216E" w:rsidRPr="00BC216E" w:rsidRDefault="00BC216E" w:rsidP="00BC216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2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0B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B5D4078" w14:textId="737F3187" w:rsidR="00BC216E" w:rsidRPr="00BC216E" w:rsidRDefault="00BC216E" w:rsidP="00BC216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2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50B35EFB" wp14:editId="698C6E9E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286000" cy="732663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bookmarkStart w:id="9" w:name="_Hlk4076103"/>
    <w:bookmarkStart w:id="10" w:name="_Hlk4076104"/>
    <w:bookmarkStart w:id="11" w:name="_Hlk4076105"/>
    <w:bookmarkStart w:id="12" w:name="_Hlk4076106"/>
    <w:r w:rsidR="00B45FB1">
      <w:t xml:space="preserve">Attachment </w:t>
    </w:r>
    <w:r w:rsidR="002A4741">
      <w:t>P-</w:t>
    </w:r>
    <w:r w:rsidR="00AF6FF3">
      <w:t>2</w:t>
    </w:r>
  </w:p>
  <w:p w14:paraId="38B86767" w14:textId="77777777" w:rsidR="002A4741" w:rsidRDefault="002A4741" w:rsidP="00E60569">
    <w:pPr>
      <w:pStyle w:val="Header"/>
      <w:contextualSpacing w:val="0"/>
    </w:pPr>
    <w:r>
      <w:t>Minority Issues</w:t>
    </w:r>
  </w:p>
  <w:p w14:paraId="15662405" w14:textId="1CBEB77F" w:rsidR="00DA3ADA" w:rsidRDefault="00B45FB1" w:rsidP="00E60569">
    <w:pPr>
      <w:pStyle w:val="Header"/>
      <w:contextualSpacing w:val="0"/>
    </w:pPr>
    <w:r>
      <w:t>WECC-01</w:t>
    </w:r>
    <w:r w:rsidR="00DA3ADA">
      <w:t>4</w:t>
    </w:r>
    <w:r w:rsidR="00AF6FF3">
      <w:t>9</w:t>
    </w:r>
    <w:r w:rsidR="00BC216E">
      <w:t xml:space="preserve"> </w:t>
    </w:r>
    <w:r w:rsidR="00DA3ADA">
      <w:t>FAC-501-WECC-</w:t>
    </w:r>
    <w:r w:rsidR="00AF6FF3">
      <w:t>4</w:t>
    </w:r>
  </w:p>
  <w:p w14:paraId="0A8095D5" w14:textId="34F75B0C" w:rsidR="00DA3ADA" w:rsidRDefault="00DA3ADA" w:rsidP="00E60569">
    <w:pPr>
      <w:pStyle w:val="Header"/>
      <w:contextualSpacing w:val="0"/>
    </w:pPr>
    <w:r>
      <w:t>Transmission Maintenance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0000402"/>
    <w:multiLevelType w:val="multilevel"/>
    <w:tmpl w:val="1D9A0A0A"/>
    <w:lvl w:ilvl="0">
      <w:numFmt w:val="bullet"/>
      <w:lvlText w:val=""/>
      <w:lvlJc w:val="left"/>
      <w:pPr>
        <w:ind w:left="840" w:hanging="360"/>
      </w:pPr>
      <w:rPr>
        <w:rFonts w:ascii="Symbol" w:hAnsi="Symbol"/>
        <w:b w:val="0"/>
        <w:w w:val="100"/>
        <w:sz w:val="24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  <w:b w:val="0"/>
        <w:w w:val="100"/>
        <w:sz w:val="24"/>
      </w:rPr>
    </w:lvl>
    <w:lvl w:ilvl="2">
      <w:numFmt w:val="bullet"/>
      <w:lvlText w:val="•"/>
      <w:lvlJc w:val="left"/>
      <w:pPr>
        <w:ind w:left="2597" w:hanging="360"/>
      </w:pPr>
    </w:lvl>
    <w:lvl w:ilvl="3">
      <w:numFmt w:val="bullet"/>
      <w:lvlText w:val="•"/>
      <w:lvlJc w:val="left"/>
      <w:pPr>
        <w:ind w:left="3655" w:hanging="360"/>
      </w:pPr>
    </w:lvl>
    <w:lvl w:ilvl="4">
      <w:numFmt w:val="bullet"/>
      <w:lvlText w:val="•"/>
      <w:lvlJc w:val="left"/>
      <w:pPr>
        <w:ind w:left="4713" w:hanging="360"/>
      </w:pPr>
    </w:lvl>
    <w:lvl w:ilvl="5">
      <w:numFmt w:val="bullet"/>
      <w:lvlText w:val="•"/>
      <w:lvlJc w:val="left"/>
      <w:pPr>
        <w:ind w:left="5771" w:hanging="360"/>
      </w:pPr>
    </w:lvl>
    <w:lvl w:ilvl="6">
      <w:numFmt w:val="bullet"/>
      <w:lvlText w:val="•"/>
      <w:lvlJc w:val="left"/>
      <w:pPr>
        <w:ind w:left="6828" w:hanging="360"/>
      </w:pPr>
    </w:lvl>
    <w:lvl w:ilvl="7">
      <w:numFmt w:val="bullet"/>
      <w:lvlText w:val="•"/>
      <w:lvlJc w:val="left"/>
      <w:pPr>
        <w:ind w:left="7886" w:hanging="360"/>
      </w:pPr>
    </w:lvl>
    <w:lvl w:ilvl="8">
      <w:numFmt w:val="bullet"/>
      <w:lvlText w:val="•"/>
      <w:lvlJc w:val="left"/>
      <w:pPr>
        <w:ind w:left="8944" w:hanging="360"/>
      </w:pPr>
    </w:lvl>
  </w:abstractNum>
  <w:abstractNum w:abstractNumId="2" w15:restartNumberingAfterBreak="0">
    <w:nsid w:val="00666C4C"/>
    <w:multiLevelType w:val="hybridMultilevel"/>
    <w:tmpl w:val="D966C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F432B"/>
    <w:multiLevelType w:val="hybridMultilevel"/>
    <w:tmpl w:val="0D6C67E4"/>
    <w:lvl w:ilvl="0" w:tplc="FB8486EC">
      <w:start w:val="1"/>
      <w:numFmt w:val="decimal"/>
      <w:lvlText w:val="%1)"/>
      <w:lvlJc w:val="left"/>
      <w:pPr>
        <w:ind w:left="720" w:hanging="360"/>
      </w:pPr>
      <w:rPr>
        <w:rFonts w:ascii="Palatino Linotype" w:eastAsia="Palatino Linotype" w:hAnsi="Palatino Linotype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7643"/>
    <w:multiLevelType w:val="hybridMultilevel"/>
    <w:tmpl w:val="4BD0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37C5B"/>
    <w:multiLevelType w:val="hybridMultilevel"/>
    <w:tmpl w:val="142C351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00D36"/>
    <w:multiLevelType w:val="hybridMultilevel"/>
    <w:tmpl w:val="1DA21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F26D4"/>
    <w:multiLevelType w:val="hybridMultilevel"/>
    <w:tmpl w:val="D2CEB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D3F78"/>
    <w:multiLevelType w:val="hybridMultilevel"/>
    <w:tmpl w:val="77D473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5C451F4"/>
    <w:multiLevelType w:val="hybridMultilevel"/>
    <w:tmpl w:val="7FBA9600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41B860C1"/>
    <w:multiLevelType w:val="hybridMultilevel"/>
    <w:tmpl w:val="12661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F0284"/>
    <w:multiLevelType w:val="hybridMultilevel"/>
    <w:tmpl w:val="255A60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7085E"/>
    <w:multiLevelType w:val="hybridMultilevel"/>
    <w:tmpl w:val="DC542C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40403"/>
    <w:multiLevelType w:val="hybridMultilevel"/>
    <w:tmpl w:val="AEF43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0" w15:restartNumberingAfterBreak="0">
    <w:nsid w:val="622F602C"/>
    <w:multiLevelType w:val="hybridMultilevel"/>
    <w:tmpl w:val="70A84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2D41ABC"/>
    <w:multiLevelType w:val="hybridMultilevel"/>
    <w:tmpl w:val="9C24A1D4"/>
    <w:lvl w:ilvl="0" w:tplc="040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 w15:restartNumberingAfterBreak="0">
    <w:nsid w:val="63C53A24"/>
    <w:multiLevelType w:val="hybridMultilevel"/>
    <w:tmpl w:val="926C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F7D02"/>
    <w:multiLevelType w:val="hybridMultilevel"/>
    <w:tmpl w:val="F976E346"/>
    <w:lvl w:ilvl="0" w:tplc="9F38D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39403">
    <w:abstractNumId w:val="26"/>
  </w:num>
  <w:num w:numId="2" w16cid:durableId="1028526338">
    <w:abstractNumId w:val="17"/>
  </w:num>
  <w:num w:numId="3" w16cid:durableId="1547062034">
    <w:abstractNumId w:val="7"/>
  </w:num>
  <w:num w:numId="4" w16cid:durableId="1734546469">
    <w:abstractNumId w:val="11"/>
  </w:num>
  <w:num w:numId="5" w16cid:durableId="1309439099">
    <w:abstractNumId w:val="27"/>
  </w:num>
  <w:num w:numId="6" w16cid:durableId="895319430">
    <w:abstractNumId w:val="12"/>
  </w:num>
  <w:num w:numId="7" w16cid:durableId="1358191813">
    <w:abstractNumId w:val="25"/>
  </w:num>
  <w:num w:numId="8" w16cid:durableId="556745028">
    <w:abstractNumId w:val="19"/>
  </w:num>
  <w:num w:numId="9" w16cid:durableId="525413162">
    <w:abstractNumId w:val="24"/>
  </w:num>
  <w:num w:numId="10" w16cid:durableId="354425793">
    <w:abstractNumId w:val="0"/>
  </w:num>
  <w:num w:numId="11" w16cid:durableId="1915846435">
    <w:abstractNumId w:val="6"/>
  </w:num>
  <w:num w:numId="12" w16cid:durableId="1138454583">
    <w:abstractNumId w:val="23"/>
  </w:num>
  <w:num w:numId="13" w16cid:durableId="324358803">
    <w:abstractNumId w:val="13"/>
  </w:num>
  <w:num w:numId="14" w16cid:durableId="96101194">
    <w:abstractNumId w:val="22"/>
  </w:num>
  <w:num w:numId="15" w16cid:durableId="1192039271">
    <w:abstractNumId w:val="5"/>
  </w:num>
  <w:num w:numId="16" w16cid:durableId="1363818661">
    <w:abstractNumId w:val="20"/>
  </w:num>
  <w:num w:numId="17" w16cid:durableId="798912530">
    <w:abstractNumId w:val="4"/>
  </w:num>
  <w:num w:numId="18" w16cid:durableId="1883012337">
    <w:abstractNumId w:val="21"/>
  </w:num>
  <w:num w:numId="19" w16cid:durableId="246302983">
    <w:abstractNumId w:val="13"/>
  </w:num>
  <w:num w:numId="20" w16cid:durableId="215894899">
    <w:abstractNumId w:val="1"/>
  </w:num>
  <w:num w:numId="21" w16cid:durableId="135924507">
    <w:abstractNumId w:val="1"/>
  </w:num>
  <w:num w:numId="22" w16cid:durableId="1006245075">
    <w:abstractNumId w:val="15"/>
  </w:num>
  <w:num w:numId="23" w16cid:durableId="1960643144">
    <w:abstractNumId w:val="3"/>
  </w:num>
  <w:num w:numId="24" w16cid:durableId="890921699">
    <w:abstractNumId w:val="2"/>
  </w:num>
  <w:num w:numId="25" w16cid:durableId="1144544618">
    <w:abstractNumId w:val="16"/>
  </w:num>
  <w:num w:numId="26" w16cid:durableId="277639290">
    <w:abstractNumId w:val="18"/>
  </w:num>
  <w:num w:numId="27" w16cid:durableId="1811240200">
    <w:abstractNumId w:val="9"/>
  </w:num>
  <w:num w:numId="28" w16cid:durableId="547835643">
    <w:abstractNumId w:val="10"/>
  </w:num>
  <w:num w:numId="29" w16cid:durableId="301277159">
    <w:abstractNumId w:val="14"/>
  </w:num>
  <w:num w:numId="30" w16cid:durableId="1538740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F9"/>
    <w:rsid w:val="000571CD"/>
    <w:rsid w:val="00086DE0"/>
    <w:rsid w:val="000A1755"/>
    <w:rsid w:val="000F614E"/>
    <w:rsid w:val="00111614"/>
    <w:rsid w:val="00144ECF"/>
    <w:rsid w:val="001474DF"/>
    <w:rsid w:val="001636D2"/>
    <w:rsid w:val="001A6F0C"/>
    <w:rsid w:val="001B7CE9"/>
    <w:rsid w:val="001C4982"/>
    <w:rsid w:val="001E4334"/>
    <w:rsid w:val="001E6E15"/>
    <w:rsid w:val="002122A7"/>
    <w:rsid w:val="002267AC"/>
    <w:rsid w:val="0022692D"/>
    <w:rsid w:val="00245949"/>
    <w:rsid w:val="00255412"/>
    <w:rsid w:val="002910DC"/>
    <w:rsid w:val="002A4741"/>
    <w:rsid w:val="002A59FD"/>
    <w:rsid w:val="002B088E"/>
    <w:rsid w:val="002B4DA5"/>
    <w:rsid w:val="002C24C2"/>
    <w:rsid w:val="002E1330"/>
    <w:rsid w:val="002E4C6E"/>
    <w:rsid w:val="00323BC9"/>
    <w:rsid w:val="00324B90"/>
    <w:rsid w:val="00377AFC"/>
    <w:rsid w:val="00394B84"/>
    <w:rsid w:val="003B7161"/>
    <w:rsid w:val="003E1973"/>
    <w:rsid w:val="00426BCF"/>
    <w:rsid w:val="0043738A"/>
    <w:rsid w:val="004C3CB9"/>
    <w:rsid w:val="004D1F97"/>
    <w:rsid w:val="004D6B4C"/>
    <w:rsid w:val="00550DB3"/>
    <w:rsid w:val="005D238C"/>
    <w:rsid w:val="005D2C06"/>
    <w:rsid w:val="005D30D4"/>
    <w:rsid w:val="00603CB7"/>
    <w:rsid w:val="00636EFE"/>
    <w:rsid w:val="0064054C"/>
    <w:rsid w:val="006A1F28"/>
    <w:rsid w:val="006B1134"/>
    <w:rsid w:val="007130D6"/>
    <w:rsid w:val="007149C7"/>
    <w:rsid w:val="007577F8"/>
    <w:rsid w:val="00761FA8"/>
    <w:rsid w:val="00773D26"/>
    <w:rsid w:val="0079598F"/>
    <w:rsid w:val="007A46E1"/>
    <w:rsid w:val="007B6435"/>
    <w:rsid w:val="007B7780"/>
    <w:rsid w:val="007E6C09"/>
    <w:rsid w:val="008474B6"/>
    <w:rsid w:val="00876E3F"/>
    <w:rsid w:val="008A2594"/>
    <w:rsid w:val="008C4E5B"/>
    <w:rsid w:val="008E7488"/>
    <w:rsid w:val="008F3E53"/>
    <w:rsid w:val="00935FB4"/>
    <w:rsid w:val="00937FDD"/>
    <w:rsid w:val="009A4D48"/>
    <w:rsid w:val="009B19EE"/>
    <w:rsid w:val="009E040B"/>
    <w:rsid w:val="009E1D07"/>
    <w:rsid w:val="00A04584"/>
    <w:rsid w:val="00A323FE"/>
    <w:rsid w:val="00A66A31"/>
    <w:rsid w:val="00AA0874"/>
    <w:rsid w:val="00AE7787"/>
    <w:rsid w:val="00AF6FF3"/>
    <w:rsid w:val="00B2550C"/>
    <w:rsid w:val="00B45FB1"/>
    <w:rsid w:val="00B800F9"/>
    <w:rsid w:val="00B9772D"/>
    <w:rsid w:val="00B97FAA"/>
    <w:rsid w:val="00BA7DBE"/>
    <w:rsid w:val="00BB3995"/>
    <w:rsid w:val="00BB3DD9"/>
    <w:rsid w:val="00BC216E"/>
    <w:rsid w:val="00BF79BD"/>
    <w:rsid w:val="00C05765"/>
    <w:rsid w:val="00C11B97"/>
    <w:rsid w:val="00C363A8"/>
    <w:rsid w:val="00C43578"/>
    <w:rsid w:val="00CC4A16"/>
    <w:rsid w:val="00CF774D"/>
    <w:rsid w:val="00D14F57"/>
    <w:rsid w:val="00D15129"/>
    <w:rsid w:val="00D21EAF"/>
    <w:rsid w:val="00D62149"/>
    <w:rsid w:val="00D636B1"/>
    <w:rsid w:val="00DA3ADA"/>
    <w:rsid w:val="00DE7133"/>
    <w:rsid w:val="00E115FD"/>
    <w:rsid w:val="00E5288E"/>
    <w:rsid w:val="00E5719E"/>
    <w:rsid w:val="00E60569"/>
    <w:rsid w:val="00E63934"/>
    <w:rsid w:val="00EA2394"/>
    <w:rsid w:val="00EC4B79"/>
    <w:rsid w:val="00ED3C01"/>
    <w:rsid w:val="00EE461E"/>
    <w:rsid w:val="00F70B9F"/>
    <w:rsid w:val="00F82512"/>
    <w:rsid w:val="00F853EC"/>
    <w:rsid w:val="00F86A26"/>
    <w:rsid w:val="00F8781A"/>
    <w:rsid w:val="00F904C8"/>
    <w:rsid w:val="00F9454C"/>
    <w:rsid w:val="00FE6A90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95DF45"/>
  <w15:chartTrackingRefBased/>
  <w15:docId w15:val="{60B315E6-3F2B-44A1-A1C1-291170B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910D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10DC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2910DC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2910D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AB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A0874"/>
    <w:pPr>
      <w:widowControl w:val="0"/>
      <w:autoSpaceDE w:val="0"/>
      <w:autoSpaceDN w:val="0"/>
      <w:adjustRightInd w:val="0"/>
      <w:spacing w:after="0" w:line="292" w:lineRule="exact"/>
      <w:ind w:left="840" w:hanging="360"/>
    </w:pPr>
    <w:rPr>
      <w:rFonts w:ascii="Arial Narrow" w:eastAsiaTheme="minorEastAsia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0874"/>
    <w:rPr>
      <w:rFonts w:ascii="Arial Narrow" w:eastAsiaTheme="minorEastAsia" w:hAnsi="Arial Narrow" w:cs="Arial Narrow"/>
      <w:sz w:val="24"/>
      <w:szCs w:val="24"/>
    </w:rPr>
  </w:style>
  <w:style w:type="paragraph" w:styleId="Revision">
    <w:name w:val="Revision"/>
    <w:hidden/>
    <w:uiPriority w:val="99"/>
    <w:semiHidden/>
    <w:rsid w:val="002910DC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YWEQ7USXTMD7-3-13844</_dlc_DocId>
    <_dlc_DocIdUrl xmlns="4bd63098-0c83-43cf-abdd-085f2cc55a51">
      <Url>https://internal.wecc.org/_layouts/15/DocIdRedir.aspx?ID=YWEQ7USXTMD7-3-13844</Url>
      <Description>YWEQ7USXTMD7-3-13844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6D8D0452-BD6C-4123-98FC-16C9C79DB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78EA7-7810-4057-9175-FABA2F5F2FB2}"/>
</file>

<file path=customXml/itemProps3.xml><?xml version="1.0" encoding="utf-8"?>
<ds:datastoreItem xmlns:ds="http://schemas.openxmlformats.org/officeDocument/2006/customXml" ds:itemID="{1C550D7A-ED85-464F-94E2-545B371ECA1A}"/>
</file>

<file path=customXml/itemProps4.xml><?xml version="1.0" encoding="utf-8"?>
<ds:datastoreItem xmlns:ds="http://schemas.openxmlformats.org/officeDocument/2006/customXml" ds:itemID="{B5FE9141-CF9C-458A-870E-73B22FF3FD15}"/>
</file>

<file path=customXml/itemProps5.xml><?xml version="1.0" encoding="utf-8"?>
<ds:datastoreItem xmlns:ds="http://schemas.openxmlformats.org/officeDocument/2006/customXml" ds:itemID="{0A0BDCA5-1357-4A77-B064-934E96E18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P-2 Minority Issues WECC-0149</dc:title>
  <dc:subject/>
  <dc:creator>Coleman, Chad</dc:creator>
  <cp:keywords>NERCFilings; WECC-0149; NERC Filings</cp:keywords>
  <dc:description/>
  <cp:lastModifiedBy>Rueckert, Steve</cp:lastModifiedBy>
  <cp:revision>4</cp:revision>
  <cp:lastPrinted>2020-05-14T23:30:00Z</cp:lastPrinted>
  <dcterms:created xsi:type="dcterms:W3CDTF">2023-12-19T21:01:00Z</dcterms:created>
  <dcterms:modified xsi:type="dcterms:W3CDTF">2024-02-21T22:17:00Z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2023-07-10T20:09:08Z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32029c6d-8ee0-4d1c-b0d4-e5ed9835aea6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303ed9f1-2f45-4200-bfcc-41cb532a363a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