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2BD3" w14:textId="5D2DF79E" w:rsidR="00323BC9" w:rsidRDefault="002A4741" w:rsidP="00BB3995">
      <w:pPr>
        <w:pStyle w:val="Heading1"/>
      </w:pPr>
      <w:r>
        <w:t>Minority Issues</w:t>
      </w:r>
      <w:r w:rsidR="00760856">
        <w:t>—</w:t>
      </w:r>
      <w:r>
        <w:t>WECC-0141</w:t>
      </w:r>
      <w:r w:rsidR="00B45FB1">
        <w:t xml:space="preserve"> </w:t>
      </w:r>
    </w:p>
    <w:p w14:paraId="4B404548" w14:textId="3FAA30F5" w:rsidR="00F9454C" w:rsidRDefault="00F9454C" w:rsidP="007B6435">
      <w:r>
        <w:t>Before receiving separate 100%</w:t>
      </w:r>
      <w:r w:rsidR="00011FAB">
        <w:t>-</w:t>
      </w:r>
      <w:r>
        <w:t xml:space="preserve">affirmative ballots on WECC-0141 and WECC-0149, the following minority issues were resolved. </w:t>
      </w:r>
    </w:p>
    <w:p w14:paraId="18EE581B" w14:textId="4CD6D659" w:rsidR="00F9454C" w:rsidRDefault="00F9454C" w:rsidP="007B6435">
      <w:r w:rsidRPr="00F9454C">
        <w:t>Minority Issues can be reviewed in their entirety on the WECC-0141 Project Page, on the Submit and Review Comments accordion, as part of the associated Response to Comments for each posting.</w:t>
      </w:r>
      <w:r w:rsidR="00760856">
        <w:t xml:space="preserve"> </w:t>
      </w:r>
    </w:p>
    <w:p w14:paraId="0507893B" w14:textId="54379290" w:rsidR="007B6435" w:rsidRPr="007B6435" w:rsidRDefault="00394B84" w:rsidP="00760856">
      <w:pPr>
        <w:pStyle w:val="Heading2"/>
      </w:pPr>
      <w:r>
        <w:t xml:space="preserve">WECC-0141 </w:t>
      </w:r>
      <w:r w:rsidR="007B6435" w:rsidRPr="007B6435">
        <w:t>Posting 1</w:t>
      </w:r>
      <w:r w:rsidR="007B6435">
        <w:t xml:space="preserve"> </w:t>
      </w:r>
    </w:p>
    <w:p w14:paraId="770F7F34" w14:textId="77777777" w:rsidR="007B6435" w:rsidRDefault="007B6435" w:rsidP="007B6435">
      <w:r>
        <w:t xml:space="preserve">Posting 1 was designed to seek consensus on the structure of the proposed document. </w:t>
      </w:r>
    </w:p>
    <w:p w14:paraId="283125DD" w14:textId="77777777" w:rsidR="00394B84" w:rsidRDefault="007B6435" w:rsidP="007B6435">
      <w:r w:rsidRPr="007B6435">
        <w:t>The D</w:t>
      </w:r>
      <w:r>
        <w:t>rafting Team (DT) concurred w</w:t>
      </w:r>
      <w:r w:rsidRPr="007B6435">
        <w:t xml:space="preserve">ith the minority view that complete retirement of the </w:t>
      </w:r>
      <w:r>
        <w:t>S</w:t>
      </w:r>
      <w:r w:rsidRPr="007B6435">
        <w:t xml:space="preserve">tandard </w:t>
      </w:r>
      <w:r>
        <w:t xml:space="preserve">(FAC-501-WECC-2) </w:t>
      </w:r>
      <w:r w:rsidRPr="007B6435">
        <w:t>could result in a reliability gap</w:t>
      </w:r>
      <w:r w:rsidR="00394B84">
        <w:t>; thus, the team opted not to recommend retirement of the Standard.</w:t>
      </w:r>
    </w:p>
    <w:p w14:paraId="52CC075D" w14:textId="571BF138" w:rsidR="007B6435" w:rsidRDefault="00394B84" w:rsidP="007B6435">
      <w:r>
        <w:t>The DT agreed to augment the Requirements/Measures with</w:t>
      </w:r>
      <w:r w:rsidR="00F9454C">
        <w:t xml:space="preserve"> Attachments</w:t>
      </w:r>
      <w:r>
        <w:t xml:space="preserve">: </w:t>
      </w:r>
      <w:r w:rsidR="007B6435">
        <w:t xml:space="preserve">1) A, Transmission Maintenance and Inspection Plan Content, 2) </w:t>
      </w:r>
      <w:r w:rsidR="007B6435" w:rsidRPr="007B6435">
        <w:t>B, Major WECC Transfer Paths in the Bulk Electric System</w:t>
      </w:r>
      <w:r w:rsidR="007B6435">
        <w:t xml:space="preserve">, and 3) C, Revision Process. </w:t>
      </w:r>
    </w:p>
    <w:p w14:paraId="7C8D64FD" w14:textId="51B95C8E" w:rsidR="00394B84" w:rsidRDefault="00394B84" w:rsidP="007B6435">
      <w:r>
        <w:t xml:space="preserve">A minority </w:t>
      </w:r>
      <w:r w:rsidR="00674510">
        <w:t>voiced concern</w:t>
      </w:r>
      <w:r>
        <w:t xml:space="preserve"> that:</w:t>
      </w:r>
    </w:p>
    <w:p w14:paraId="5A1B02BA" w14:textId="537F37F2" w:rsidR="00394B84" w:rsidRDefault="00394B84" w:rsidP="00394B84">
      <w:pPr>
        <w:pStyle w:val="ListParagraph"/>
        <w:numPr>
          <w:ilvl w:val="0"/>
          <w:numId w:val="22"/>
        </w:numPr>
      </w:pPr>
      <w:r>
        <w:t>The detail required to perfect Attachments A</w:t>
      </w:r>
      <w:r w:rsidR="005C4497">
        <w:t>–</w:t>
      </w:r>
      <w:r>
        <w:t>C may exceed the scope of the Standard Authorization Request (SAR).</w:t>
      </w:r>
      <w:r w:rsidR="00760856">
        <w:t xml:space="preserve"> </w:t>
      </w:r>
      <w:r>
        <w:t>The DT disagreed.</w:t>
      </w:r>
    </w:p>
    <w:p w14:paraId="5B7D88E7" w14:textId="0480EB04" w:rsidR="00394B84" w:rsidRDefault="006E0172" w:rsidP="0023444A">
      <w:pPr>
        <w:pStyle w:val="ListParagraph"/>
        <w:numPr>
          <w:ilvl w:val="0"/>
          <w:numId w:val="22"/>
        </w:numPr>
      </w:pPr>
      <w:r>
        <w:t xml:space="preserve">FAC-501-WECC-2, </w:t>
      </w:r>
      <w:r w:rsidR="00394B84">
        <w:t>Attachment B was out-of-date, not technically supported, and should not be used.</w:t>
      </w:r>
      <w:r w:rsidR="00760856">
        <w:t xml:space="preserve"> </w:t>
      </w:r>
      <w:r w:rsidR="00394B84">
        <w:t>The DT proposed updating the attachment and creating a means to keep the table current.</w:t>
      </w:r>
    </w:p>
    <w:p w14:paraId="31E04201" w14:textId="62E3A3E1" w:rsidR="00394B84" w:rsidRPr="00394B84" w:rsidRDefault="00394B84" w:rsidP="00760856">
      <w:pPr>
        <w:pStyle w:val="Heading2"/>
      </w:pPr>
      <w:r w:rsidRPr="00394B84">
        <w:t>WECC-0141 Posting 2</w:t>
      </w:r>
    </w:p>
    <w:p w14:paraId="362F0476" w14:textId="0059D6D9" w:rsidR="00F9454C" w:rsidRDefault="00394B84" w:rsidP="00394B84">
      <w:r w:rsidRPr="00394B84">
        <w:t xml:space="preserve">The </w:t>
      </w:r>
      <w:r w:rsidR="00F9454C">
        <w:t xml:space="preserve">minority voiced concerns that: </w:t>
      </w:r>
    </w:p>
    <w:p w14:paraId="3DFE5B19" w14:textId="76ADE7FA" w:rsidR="00F9454C" w:rsidRDefault="00F9454C" w:rsidP="00F9454C">
      <w:pPr>
        <w:pStyle w:val="ListParagraph"/>
        <w:numPr>
          <w:ilvl w:val="0"/>
          <w:numId w:val="24"/>
        </w:numPr>
      </w:pPr>
      <w:r>
        <w:t>A description of future maintenance practices should not be required.</w:t>
      </w:r>
      <w:r w:rsidR="00760856">
        <w:t xml:space="preserve"> </w:t>
      </w:r>
      <w:r>
        <w:t>The DT disagreed holding that to do otherwise could create a reliability gap.</w:t>
      </w:r>
    </w:p>
    <w:p w14:paraId="19A6DADD" w14:textId="637BC4DC" w:rsidR="00394B84" w:rsidRDefault="00F9454C" w:rsidP="00F9454C">
      <w:r>
        <w:t xml:space="preserve">Various </w:t>
      </w:r>
      <w:r w:rsidR="006E0172">
        <w:t>N</w:t>
      </w:r>
      <w:r>
        <w:t>on-</w:t>
      </w:r>
      <w:r w:rsidR="006E0172">
        <w:t>S</w:t>
      </w:r>
      <w:r>
        <w:t>ubstantive changes were not adopted.</w:t>
      </w:r>
      <w:r w:rsidR="00760856">
        <w:t xml:space="preserve"> </w:t>
      </w:r>
    </w:p>
    <w:p w14:paraId="3399FC29" w14:textId="6E91F51C" w:rsidR="00394B84" w:rsidRPr="00394B84" w:rsidRDefault="00394B84" w:rsidP="00760856">
      <w:pPr>
        <w:pStyle w:val="Heading2"/>
      </w:pPr>
      <w:r w:rsidRPr="00394B84">
        <w:t>WECC-0141 Posting 3</w:t>
      </w:r>
    </w:p>
    <w:p w14:paraId="3F6A4D69" w14:textId="77777777" w:rsidR="00F9454C" w:rsidRDefault="00F9454C" w:rsidP="00F9454C">
      <w:bookmarkStart w:id="0" w:name="_Hlk139894491"/>
      <w:r w:rsidRPr="00394B84">
        <w:t xml:space="preserve">The </w:t>
      </w:r>
      <w:r>
        <w:t>minority voiced concerns that:</w:t>
      </w:r>
    </w:p>
    <w:bookmarkEnd w:id="0"/>
    <w:p w14:paraId="33D2B9D2" w14:textId="7592C658" w:rsidR="00394B84" w:rsidRDefault="00F9454C" w:rsidP="00F9454C">
      <w:pPr>
        <w:pStyle w:val="ListParagraph"/>
        <w:numPr>
          <w:ilvl w:val="0"/>
          <w:numId w:val="26"/>
        </w:numPr>
      </w:pPr>
      <w:r>
        <w:lastRenderedPageBreak/>
        <w:t>At</w:t>
      </w:r>
      <w:r w:rsidR="00394B84" w:rsidRPr="00394B84">
        <w:t>tachment C</w:t>
      </w:r>
      <w:r w:rsidR="005F4270">
        <w:t xml:space="preserve">, </w:t>
      </w:r>
      <w:r w:rsidR="00394B84">
        <w:t>Revision Process</w:t>
      </w:r>
      <w:r w:rsidR="005F4270">
        <w:t xml:space="preserve">, </w:t>
      </w:r>
      <w:r w:rsidR="00394B84" w:rsidRPr="00394B84">
        <w:t xml:space="preserve">could result in too much detail being included on Attachment B. Although this is a possibility, it would be the Transmission Owners that would dictate the detail and quantity of any equipment added to Attachment B. In that sense, the amount of detail added to Attachment B is self-moderated by those subject to the </w:t>
      </w:r>
      <w:r w:rsidR="005F4270">
        <w:t>S</w:t>
      </w:r>
      <w:r w:rsidR="00394B84" w:rsidRPr="00394B84">
        <w:t>tandard.</w:t>
      </w:r>
    </w:p>
    <w:p w14:paraId="2E4EFABC" w14:textId="0430C7EA" w:rsidR="00F9454C" w:rsidRDefault="00F9454C" w:rsidP="0070390A">
      <w:pPr>
        <w:pStyle w:val="ListParagraph"/>
        <w:numPr>
          <w:ilvl w:val="0"/>
          <w:numId w:val="26"/>
        </w:numPr>
      </w:pPr>
      <w:r>
        <w:t>Attachment A</w:t>
      </w:r>
      <w:r w:rsidR="005F4270">
        <w:t xml:space="preserve">, Transmission Maintenance Inspection Plan, </w:t>
      </w:r>
      <w:r>
        <w:t xml:space="preserve">should be developed in the same or similar fashion as </w:t>
      </w:r>
      <w:r w:rsidR="00394B84" w:rsidRPr="00394B84">
        <w:t>PRC-005</w:t>
      </w:r>
      <w:r>
        <w:t xml:space="preserve">, </w:t>
      </w:r>
      <w:r w:rsidR="00394B84" w:rsidRPr="00394B84">
        <w:t>Protection System, Automatic Reclosing, and Sudden Pressure Relaying Maintenance</w:t>
      </w:r>
      <w:r w:rsidR="00394B84">
        <w:t>.</w:t>
      </w:r>
      <w:r w:rsidR="00760856">
        <w:t xml:space="preserve"> </w:t>
      </w:r>
      <w:r w:rsidR="00394B84">
        <w:t>Although the DT agreed the suggestion ha</w:t>
      </w:r>
      <w:r>
        <w:t>d</w:t>
      </w:r>
      <w:r w:rsidR="00394B84">
        <w:t xml:space="preserve"> merit, the DT concluded that such an approach would be better suited for a continent-wide Standard.</w:t>
      </w:r>
    </w:p>
    <w:p w14:paraId="60ECC8BF" w14:textId="3414C634" w:rsidR="00426BCF" w:rsidRDefault="00F9454C" w:rsidP="00CA281A">
      <w:pPr>
        <w:pStyle w:val="ListParagraph"/>
        <w:numPr>
          <w:ilvl w:val="0"/>
          <w:numId w:val="26"/>
        </w:numPr>
      </w:pPr>
      <w:r>
        <w:t>The term “</w:t>
      </w:r>
      <w:r w:rsidR="00426BCF">
        <w:t xml:space="preserve">path” should be adopted as used in </w:t>
      </w:r>
      <w:r w:rsidR="00DC2931">
        <w:t>the WECC Project Coordination and Path Rating Processes, and the WECC 2020 Path Rating Catalog.</w:t>
      </w:r>
      <w:r w:rsidR="00760856">
        <w:t xml:space="preserve"> </w:t>
      </w:r>
      <w:r w:rsidR="00426BCF">
        <w:t>The DT disagreed noting that use of the term in the extrinsic document</w:t>
      </w:r>
      <w:r w:rsidR="00DC2931">
        <w:t>s</w:t>
      </w:r>
      <w:r w:rsidR="00426BCF">
        <w:t xml:space="preserve"> was inconsistent</w:t>
      </w:r>
      <w:r w:rsidR="00DC2931">
        <w:t>, not defined, and subject to change outside of the Standards development processes.</w:t>
      </w:r>
      <w:r w:rsidR="00760856">
        <w:t xml:space="preserve"> </w:t>
      </w:r>
    </w:p>
    <w:p w14:paraId="318401EC" w14:textId="514AA167" w:rsidR="00426BCF" w:rsidRDefault="00426BCF" w:rsidP="004B3146">
      <w:pPr>
        <w:pStyle w:val="ListParagraph"/>
        <w:numPr>
          <w:ilvl w:val="0"/>
          <w:numId w:val="26"/>
        </w:numPr>
      </w:pPr>
      <w:r>
        <w:t xml:space="preserve">The Version 2, </w:t>
      </w:r>
      <w:r w:rsidR="00394B84">
        <w:t xml:space="preserve">Attachment B title </w:t>
      </w:r>
      <w:r>
        <w:t>should be retained.</w:t>
      </w:r>
      <w:r w:rsidR="00760856">
        <w:t xml:space="preserve"> </w:t>
      </w:r>
      <w:r>
        <w:t xml:space="preserve">The DT disagreed as retaining the title made no progress in negating concerns over incorporation by reference whereby </w:t>
      </w:r>
      <w:r w:rsidR="00394B84">
        <w:t>changes to one Standard self-execute in others</w:t>
      </w:r>
      <w:r w:rsidR="00760856">
        <w:t>—</w:t>
      </w:r>
      <w:r w:rsidR="00394B84">
        <w:t>without due process.</w:t>
      </w:r>
      <w:r w:rsidR="00760856">
        <w:t xml:space="preserve"> </w:t>
      </w:r>
      <w:r w:rsidR="00DC2931" w:rsidRPr="00DC2931">
        <w:rPr>
          <w:i/>
          <w:iCs/>
        </w:rPr>
        <w:t>Subsequent Entry:</w:t>
      </w:r>
      <w:r w:rsidR="00760856">
        <w:t xml:space="preserve"> </w:t>
      </w:r>
      <w:r w:rsidR="00DC2931">
        <w:t>WECC-0149 was filed to augment this project.</w:t>
      </w:r>
      <w:r w:rsidR="00760856">
        <w:t xml:space="preserve"> </w:t>
      </w:r>
      <w:r w:rsidR="00DC2931">
        <w:t>In WECC-0149, the same DT opted to reinstate the use of the title</w:t>
      </w:r>
      <w:r w:rsidR="005F4270">
        <w:t>, excerpt the Table from the Standard, and include the Table in the Table Revision Process</w:t>
      </w:r>
      <w:r w:rsidR="00DC2931">
        <w:t>.</w:t>
      </w:r>
    </w:p>
    <w:p w14:paraId="48DF3514" w14:textId="1219B751" w:rsidR="00394B84" w:rsidRDefault="00426BCF" w:rsidP="0049247D">
      <w:pPr>
        <w:pStyle w:val="ListParagraph"/>
        <w:numPr>
          <w:ilvl w:val="0"/>
          <w:numId w:val="26"/>
        </w:numPr>
      </w:pPr>
      <w:r>
        <w:t xml:space="preserve">Attachment C </w:t>
      </w:r>
      <w:r w:rsidR="005F4270">
        <w:t xml:space="preserve">(Process) </w:t>
      </w:r>
      <w:r w:rsidR="00394B84">
        <w:t>would create conflicting means to change the content of Attachment B</w:t>
      </w:r>
      <w:r w:rsidR="005F4270">
        <w:t xml:space="preserve"> (Table)</w:t>
      </w:r>
      <w:r w:rsidR="00394B84">
        <w:t>.</w:t>
      </w:r>
      <w:r w:rsidR="00760856">
        <w:t xml:space="preserve"> </w:t>
      </w:r>
      <w:r>
        <w:t>This is incorrect.</w:t>
      </w:r>
      <w:r w:rsidR="00760856">
        <w:t xml:space="preserve"> </w:t>
      </w:r>
      <w:r w:rsidR="00394B84">
        <w:t>There will be only one process</w:t>
      </w:r>
      <w:r>
        <w:t xml:space="preserve"> for changing Attachment B within a Reliability Standard.</w:t>
      </w:r>
      <w:r w:rsidR="00760856">
        <w:t xml:space="preserve"> </w:t>
      </w:r>
      <w:r w:rsidR="00DC2931" w:rsidRPr="00DC2931">
        <w:rPr>
          <w:i/>
          <w:iCs/>
        </w:rPr>
        <w:t>Subsequent Entry:</w:t>
      </w:r>
      <w:r w:rsidR="00760856">
        <w:t xml:space="preserve"> </w:t>
      </w:r>
      <w:r w:rsidR="00DC2931" w:rsidRPr="00DC2931">
        <w:t>WECC-0149 was filed to augment this project.</w:t>
      </w:r>
      <w:r w:rsidR="00760856">
        <w:t xml:space="preserve"> </w:t>
      </w:r>
      <w:r w:rsidR="00DC2931" w:rsidRPr="00DC2931">
        <w:t xml:space="preserve">In WECC-0149, the </w:t>
      </w:r>
      <w:r w:rsidR="00DC2931">
        <w:t xml:space="preserve">content of the WECC Major Paths </w:t>
      </w:r>
      <w:r w:rsidR="005F4270">
        <w:t>T</w:t>
      </w:r>
      <w:r w:rsidR="00DC2931">
        <w:t>able (list of paths) is removed from the Standard foreclosing the ability to change the list when using the WECC Reliability Standards Development Procedures (Procedures).</w:t>
      </w:r>
      <w:r w:rsidR="00760856">
        <w:t xml:space="preserve"> </w:t>
      </w:r>
      <w:r w:rsidR="00DC2931">
        <w:t>Restated, the path list could not be changed per the Procedures because the list will not be inside of a Standard.</w:t>
      </w:r>
      <w:r w:rsidR="00760856">
        <w:t xml:space="preserve"> </w:t>
      </w:r>
      <w:r w:rsidR="00DC2931">
        <w:t>Instead, when the content migrates to the Table Revision Process, that Process dictates the change to the list of paths.</w:t>
      </w:r>
      <w:r w:rsidR="00760856">
        <w:t xml:space="preserve"> </w:t>
      </w:r>
    </w:p>
    <w:p w14:paraId="1E970D11" w14:textId="066C2828" w:rsidR="00F9454C" w:rsidRDefault="00F9454C" w:rsidP="00F9454C">
      <w:r>
        <w:t>Various non-substantive changes were not adopted.</w:t>
      </w:r>
      <w:r w:rsidR="00760856">
        <w:t xml:space="preserve"> </w:t>
      </w:r>
    </w:p>
    <w:p w14:paraId="7FBB5023" w14:textId="0870AA60" w:rsidR="00F9454C" w:rsidRPr="00426BCF" w:rsidRDefault="00F9454C" w:rsidP="00760856">
      <w:pPr>
        <w:pStyle w:val="Heading2"/>
      </w:pPr>
      <w:r w:rsidRPr="00426BCF">
        <w:t>Posting 4</w:t>
      </w:r>
    </w:p>
    <w:p w14:paraId="7400F1EF" w14:textId="77777777" w:rsidR="00426BCF" w:rsidRDefault="00426BCF" w:rsidP="00426BCF">
      <w:pPr>
        <w:rPr>
          <w:rFonts w:eastAsia="Palatino Linotype" w:cs="Times New Roman"/>
          <w:szCs w:val="20"/>
        </w:rPr>
      </w:pPr>
      <w:r w:rsidRPr="00426BCF">
        <w:rPr>
          <w:rFonts w:eastAsia="Palatino Linotype" w:cs="Times New Roman"/>
          <w:szCs w:val="20"/>
        </w:rPr>
        <w:t>The minority voiced concerns that:</w:t>
      </w:r>
    </w:p>
    <w:p w14:paraId="5C127807" w14:textId="7D7B6CA4" w:rsidR="00426BCF" w:rsidRDefault="00426BCF" w:rsidP="00426BCF">
      <w:pPr>
        <w:pStyle w:val="ListParagraph"/>
        <w:numPr>
          <w:ilvl w:val="0"/>
          <w:numId w:val="23"/>
        </w:numPr>
        <w:rPr>
          <w:rFonts w:eastAsia="Palatino Linotype" w:cs="Times New Roman"/>
          <w:szCs w:val="20"/>
        </w:rPr>
      </w:pPr>
      <w:r>
        <w:rPr>
          <w:rFonts w:eastAsia="Palatino Linotype" w:cs="Times New Roman"/>
          <w:szCs w:val="20"/>
        </w:rPr>
        <w:t xml:space="preserve">Breaking the incorporation by reference of Attachment B </w:t>
      </w:r>
      <w:r w:rsidR="005F4270">
        <w:rPr>
          <w:rFonts w:eastAsia="Palatino Linotype" w:cs="Times New Roman"/>
          <w:szCs w:val="20"/>
        </w:rPr>
        <w:t xml:space="preserve">(Table) </w:t>
      </w:r>
      <w:r>
        <w:rPr>
          <w:rFonts w:eastAsia="Palatino Linotype" w:cs="Times New Roman"/>
          <w:szCs w:val="20"/>
        </w:rPr>
        <w:t>and other NERC documents could create multiple “Attachment B” lists.</w:t>
      </w:r>
      <w:r w:rsidR="00760856">
        <w:rPr>
          <w:rFonts w:eastAsia="Palatino Linotype" w:cs="Times New Roman"/>
          <w:szCs w:val="20"/>
        </w:rPr>
        <w:t xml:space="preserve"> </w:t>
      </w:r>
      <w:r>
        <w:rPr>
          <w:rFonts w:eastAsia="Palatino Linotype" w:cs="Times New Roman"/>
          <w:szCs w:val="20"/>
        </w:rPr>
        <w:t xml:space="preserve">This concern was remedied in WECC-0149 by removing the content of Attachment B </w:t>
      </w:r>
      <w:r w:rsidR="00674510">
        <w:rPr>
          <w:rFonts w:eastAsia="Palatino Linotype" w:cs="Times New Roman"/>
          <w:szCs w:val="20"/>
        </w:rPr>
        <w:t xml:space="preserve">from the Standard, </w:t>
      </w:r>
      <w:r>
        <w:rPr>
          <w:rFonts w:eastAsia="Palatino Linotype" w:cs="Times New Roman"/>
          <w:szCs w:val="20"/>
        </w:rPr>
        <w:t>placing it in its own freestanding document</w:t>
      </w:r>
      <w:r w:rsidR="005F4270">
        <w:rPr>
          <w:rFonts w:eastAsia="Palatino Linotype" w:cs="Times New Roman"/>
          <w:szCs w:val="20"/>
        </w:rPr>
        <w:t xml:space="preserve"> (Process)</w:t>
      </w:r>
      <w:r w:rsidR="00674510">
        <w:rPr>
          <w:rFonts w:eastAsia="Palatino Linotype" w:cs="Times New Roman"/>
          <w:szCs w:val="20"/>
        </w:rPr>
        <w:t>, and dictating the change process in the Table Revision Process, Process Requirements.</w:t>
      </w:r>
      <w:r w:rsidR="00760856">
        <w:rPr>
          <w:rFonts w:eastAsia="Palatino Linotype" w:cs="Times New Roman"/>
          <w:szCs w:val="20"/>
        </w:rPr>
        <w:t xml:space="preserve"> </w:t>
      </w:r>
      <w:r>
        <w:rPr>
          <w:rFonts w:eastAsia="Palatino Linotype" w:cs="Times New Roman"/>
          <w:szCs w:val="20"/>
        </w:rPr>
        <w:t>See WECC-14</w:t>
      </w:r>
      <w:r w:rsidR="00DC2931">
        <w:rPr>
          <w:rFonts w:eastAsia="Palatino Linotype" w:cs="Times New Roman"/>
          <w:szCs w:val="20"/>
        </w:rPr>
        <w:t>9</w:t>
      </w:r>
      <w:r>
        <w:rPr>
          <w:rFonts w:eastAsia="Palatino Linotype" w:cs="Times New Roman"/>
          <w:szCs w:val="20"/>
        </w:rPr>
        <w:t xml:space="preserve"> for more detail. </w:t>
      </w:r>
    </w:p>
    <w:p w14:paraId="4794EBBA" w14:textId="25E821D8" w:rsidR="00F9454C" w:rsidRDefault="00F9454C" w:rsidP="00F9454C">
      <w:pPr>
        <w:pStyle w:val="ListParagraph"/>
        <w:numPr>
          <w:ilvl w:val="0"/>
          <w:numId w:val="23"/>
        </w:numPr>
        <w:rPr>
          <w:rFonts w:eastAsia="Palatino Linotype" w:cs="Times New Roman"/>
          <w:szCs w:val="20"/>
        </w:rPr>
      </w:pPr>
      <w:r w:rsidRPr="00DA1CC3">
        <w:rPr>
          <w:rFonts w:eastAsia="Palatino Linotype" w:cs="Times New Roman"/>
          <w:szCs w:val="20"/>
        </w:rPr>
        <w:lastRenderedPageBreak/>
        <w:t xml:space="preserve">Creation of Attachment C </w:t>
      </w:r>
      <w:r w:rsidR="005F4270">
        <w:rPr>
          <w:rFonts w:eastAsia="Palatino Linotype" w:cs="Times New Roman"/>
          <w:szCs w:val="20"/>
        </w:rPr>
        <w:t xml:space="preserve">(Process) </w:t>
      </w:r>
      <w:r w:rsidRPr="00DA1CC3">
        <w:rPr>
          <w:rFonts w:eastAsia="Palatino Linotype" w:cs="Times New Roman"/>
          <w:szCs w:val="20"/>
        </w:rPr>
        <w:t>may add administrative burden and additional development processes.</w:t>
      </w:r>
      <w:r>
        <w:rPr>
          <w:rFonts w:eastAsia="Palatino Linotype" w:cs="Times New Roman"/>
          <w:szCs w:val="20"/>
        </w:rPr>
        <w:t xml:space="preserve"> </w:t>
      </w:r>
      <w:r w:rsidRPr="00DA1CC3">
        <w:rPr>
          <w:rFonts w:eastAsia="Palatino Linotype" w:cs="Times New Roman"/>
          <w:szCs w:val="20"/>
        </w:rPr>
        <w:t xml:space="preserve">This is incorrect as Attachment C </w:t>
      </w:r>
      <w:r w:rsidR="00674510">
        <w:rPr>
          <w:rFonts w:eastAsia="Palatino Linotype" w:cs="Times New Roman"/>
          <w:szCs w:val="20"/>
        </w:rPr>
        <w:t>largely c</w:t>
      </w:r>
      <w:r w:rsidRPr="00DA1CC3">
        <w:rPr>
          <w:rFonts w:eastAsia="Palatino Linotype" w:cs="Times New Roman"/>
          <w:szCs w:val="20"/>
        </w:rPr>
        <w:t>odifies an existing ad hoc process.</w:t>
      </w:r>
      <w:r w:rsidR="00760856">
        <w:rPr>
          <w:rFonts w:eastAsia="Palatino Linotype" w:cs="Times New Roman"/>
          <w:szCs w:val="20"/>
        </w:rPr>
        <w:t xml:space="preserve"> </w:t>
      </w:r>
      <w:r w:rsidR="00674510">
        <w:rPr>
          <w:rFonts w:eastAsia="Palatino Linotype" w:cs="Times New Roman"/>
          <w:szCs w:val="20"/>
        </w:rPr>
        <w:t>Because the existing ad hoc processes are not memorialized, using the proposed Table Revision Process may actually decrease an entity’s burden by eliminating redundancies and processes that may no longer be required.</w:t>
      </w:r>
      <w:r w:rsidR="00760856">
        <w:rPr>
          <w:rFonts w:eastAsia="Palatino Linotype" w:cs="Times New Roman"/>
          <w:szCs w:val="20"/>
        </w:rPr>
        <w:t xml:space="preserve"> </w:t>
      </w:r>
    </w:p>
    <w:p w14:paraId="2D657F2B" w14:textId="4C0FEE81" w:rsidR="00394B84" w:rsidRPr="00426BCF" w:rsidRDefault="00F9454C" w:rsidP="00FE6586">
      <w:pPr>
        <w:pStyle w:val="ListParagraph"/>
        <w:numPr>
          <w:ilvl w:val="0"/>
          <w:numId w:val="23"/>
        </w:numPr>
      </w:pPr>
      <w:r w:rsidRPr="00426BCF">
        <w:rPr>
          <w:rFonts w:eastAsia="Palatino Linotype" w:cs="Times New Roman"/>
          <w:szCs w:val="20"/>
        </w:rPr>
        <w:t>The WECC Path Rating Catalog (Catalog) could create sufficient due process</w:t>
      </w:r>
      <w:r w:rsidR="00426BCF" w:rsidRPr="00426BCF">
        <w:rPr>
          <w:rFonts w:eastAsia="Palatino Linotype" w:cs="Times New Roman"/>
          <w:szCs w:val="20"/>
        </w:rPr>
        <w:t xml:space="preserve"> to change Attachment B</w:t>
      </w:r>
      <w:r w:rsidR="005F4270">
        <w:rPr>
          <w:rFonts w:eastAsia="Palatino Linotype" w:cs="Times New Roman"/>
          <w:szCs w:val="20"/>
        </w:rPr>
        <w:t xml:space="preserve"> (Table)</w:t>
      </w:r>
      <w:r w:rsidRPr="00426BCF">
        <w:rPr>
          <w:rFonts w:eastAsia="Palatino Linotype" w:cs="Times New Roman"/>
          <w:szCs w:val="20"/>
        </w:rPr>
        <w:t xml:space="preserve">. This is incorrect as the Catalog does not require due process; rather, it states what “should” occur. Its content and procedures are dictated by other documents and WECC groups. As a result, actions taken by those peripheral document owners could inadvertently affect the Applicability of NERC </w:t>
      </w:r>
      <w:r w:rsidR="005F4270">
        <w:rPr>
          <w:rFonts w:eastAsia="Palatino Linotype" w:cs="Times New Roman"/>
          <w:szCs w:val="20"/>
        </w:rPr>
        <w:t>S</w:t>
      </w:r>
      <w:r w:rsidRPr="00426BCF">
        <w:rPr>
          <w:rFonts w:eastAsia="Palatino Linotype" w:cs="Times New Roman"/>
          <w:szCs w:val="20"/>
        </w:rPr>
        <w:t>tandards through incorporation by reference.</w:t>
      </w:r>
    </w:p>
    <w:p w14:paraId="7E5EF59B" w14:textId="7F640BA5" w:rsidR="00426BCF" w:rsidRPr="00426BCF" w:rsidRDefault="00426BCF" w:rsidP="00F90B9E">
      <w:pPr>
        <w:pStyle w:val="Heading2"/>
      </w:pPr>
      <w:r w:rsidRPr="00426BCF">
        <w:t xml:space="preserve">Posting </w:t>
      </w:r>
      <w:r>
        <w:t xml:space="preserve">5 and 6, </w:t>
      </w:r>
      <w:r w:rsidRPr="00F90B9E">
        <w:t>NERC</w:t>
      </w:r>
      <w:r>
        <w:t xml:space="preserve"> 45-day Posting</w:t>
      </w:r>
    </w:p>
    <w:p w14:paraId="599B85B1" w14:textId="40A9197F" w:rsidR="00426BCF" w:rsidRDefault="00426BCF" w:rsidP="00D7403B">
      <w:r>
        <w:t>No new M</w:t>
      </w:r>
      <w:r w:rsidRPr="00426BCF">
        <w:t xml:space="preserve">inority </w:t>
      </w:r>
      <w:r>
        <w:t xml:space="preserve">Issues were raised in Posting 5, 6, or the NERC posting. </w:t>
      </w:r>
    </w:p>
    <w:p w14:paraId="3EF5560D" w14:textId="77777777" w:rsidR="00426BCF" w:rsidRDefault="00426BCF" w:rsidP="00426BCF">
      <w:pPr>
        <w:ind w:left="360"/>
      </w:pPr>
    </w:p>
    <w:sectPr w:rsidR="00426BCF" w:rsidSect="00BB3995">
      <w:headerReference w:type="even" r:id="rId8"/>
      <w:headerReference w:type="default" r:id="rId9"/>
      <w:footerReference w:type="default" r:id="rId10"/>
      <w:headerReference w:type="first" r:id="rId11"/>
      <w:footerReference w:type="first" r:id="rId12"/>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BDC8" w14:textId="77777777" w:rsidR="00D636B1" w:rsidRDefault="00D636B1" w:rsidP="00E60569">
      <w:r>
        <w:separator/>
      </w:r>
    </w:p>
    <w:p w14:paraId="78968130" w14:textId="77777777" w:rsidR="00D636B1" w:rsidRDefault="00D636B1" w:rsidP="00E60569"/>
  </w:endnote>
  <w:endnote w:type="continuationSeparator" w:id="0">
    <w:p w14:paraId="78D0B66D" w14:textId="77777777" w:rsidR="00D636B1" w:rsidRDefault="00D636B1" w:rsidP="00E60569">
      <w:r>
        <w:continuationSeparator/>
      </w:r>
    </w:p>
    <w:p w14:paraId="79F36C3B" w14:textId="77777777" w:rsidR="00D636B1" w:rsidRDefault="00D636B1"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13376617"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5AA25587" wp14:editId="20B812BB">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A04584">
          <w:rPr>
            <w:b w:val="0"/>
            <w:sz w:val="22"/>
          </w:rPr>
          <w:t>3</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648C"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AC0B" w14:textId="77777777" w:rsidR="00D636B1" w:rsidRDefault="00D636B1" w:rsidP="00E60569">
      <w:r>
        <w:separator/>
      </w:r>
    </w:p>
  </w:footnote>
  <w:footnote w:type="continuationSeparator" w:id="0">
    <w:p w14:paraId="40136050" w14:textId="77777777" w:rsidR="00D636B1" w:rsidRDefault="00D636B1" w:rsidP="00E60569">
      <w:r>
        <w:continuationSeparator/>
      </w:r>
    </w:p>
    <w:p w14:paraId="4262A358" w14:textId="77777777" w:rsidR="00D636B1" w:rsidRDefault="00D636B1"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AFB9" w14:textId="3FF14279" w:rsidR="00BC216E" w:rsidRDefault="00BC216E">
    <w:pPr>
      <w:pStyle w:val="Header"/>
    </w:pPr>
    <w:r>
      <w:rPr>
        <w:noProof/>
      </w:rPr>
      <mc:AlternateContent>
        <mc:Choice Requires="wps">
          <w:drawing>
            <wp:anchor distT="0" distB="0" distL="0" distR="0" simplePos="0" relativeHeight="251660288" behindDoc="0" locked="0" layoutInCell="1" allowOverlap="1" wp14:anchorId="258FF559" wp14:editId="44EBA979">
              <wp:simplePos x="635" y="6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E875F" w14:textId="4E7C0208"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FF559"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5E875F" w14:textId="4E7C0208"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CAB1" w14:textId="01117D3E" w:rsidR="00E115FD" w:rsidRPr="00636EFE" w:rsidRDefault="00BC216E" w:rsidP="00636EFE">
    <w:pPr>
      <w:pStyle w:val="Header"/>
    </w:pPr>
    <w:r>
      <w:rPr>
        <w:noProof/>
        <w:sz w:val="22"/>
      </w:rPr>
      <mc:AlternateContent>
        <mc:Choice Requires="wps">
          <w:drawing>
            <wp:anchor distT="0" distB="0" distL="0" distR="0" simplePos="0" relativeHeight="251661312" behindDoc="0" locked="0" layoutInCell="1" allowOverlap="1" wp14:anchorId="124898CB" wp14:editId="4F51C911">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ABF55" w14:textId="043B25EE"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898CB"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6ABF55" w14:textId="043B25EE"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r w:rsidR="00636EFE" w:rsidRPr="00636EFE">
      <w:rPr>
        <w:sz w:val="22"/>
      </w:rPr>
      <w:t xml:space="preserve">Attachment </w:t>
    </w:r>
    <w:r w:rsidR="00426BCF">
      <w:rPr>
        <w:sz w:val="22"/>
      </w:rPr>
      <w:t>P-1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A34" w14:textId="163174EE" w:rsidR="00B45FB1" w:rsidRDefault="00BC216E" w:rsidP="004D3AE9">
    <w:pPr>
      <w:pStyle w:val="Header"/>
      <w:contextualSpacing w:val="0"/>
    </w:pPr>
    <w:r>
      <w:rPr>
        <w:noProof/>
      </w:rPr>
      <mc:AlternateContent>
        <mc:Choice Requires="wps">
          <w:drawing>
            <wp:anchor distT="0" distB="0" distL="0" distR="0" simplePos="0" relativeHeight="251659264" behindDoc="0" locked="0" layoutInCell="1" allowOverlap="1" wp14:anchorId="76B0B147" wp14:editId="31763722">
              <wp:simplePos x="688019" y="457200"/>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D4078" w14:textId="737F3187"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0B147" id="_x0000_t202" coordsize="21600,21600" o:spt="202" path="m,l,21600r21600,l21600,xe">
              <v:stroke joinstyle="miter"/>
              <v:path gradientshapeok="t" o:connecttype="rect"/>
            </v:shapetype>
            <v:shape id="Text Box 1" o:spid="_x0000_s1028" type="#_x0000_t202" alt="&lt;Public&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5D4078" w14:textId="737F3187"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50B35EFB" wp14:editId="67EDB126">
          <wp:simplePos x="0" y="0"/>
          <wp:positionH relativeFrom="column">
            <wp:posOffset>4445</wp:posOffset>
          </wp:positionH>
          <wp:positionV relativeFrom="paragraph">
            <wp:posOffset>77470</wp:posOffset>
          </wp:positionV>
          <wp:extent cx="2286000" cy="732663"/>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663"/>
                  </a:xfrm>
                  <a:prstGeom prst="rect">
                    <a:avLst/>
                  </a:prstGeom>
                </pic:spPr>
              </pic:pic>
            </a:graphicData>
          </a:graphic>
          <wp14:sizeRelH relativeFrom="page">
            <wp14:pctWidth>0</wp14:pctWidth>
          </wp14:sizeRelH>
          <wp14:sizeRelV relativeFrom="page">
            <wp14:pctHeight>0</wp14:pctHeight>
          </wp14:sizeRelV>
        </wp:anchor>
      </w:drawing>
    </w: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bookmarkStart w:id="10" w:name="_Hlk4076103"/>
    <w:bookmarkStart w:id="11" w:name="_Hlk4076104"/>
    <w:bookmarkStart w:id="12" w:name="_Hlk4076105"/>
    <w:bookmarkStart w:id="13" w:name="_Hlk4076106"/>
    <w:r w:rsidR="00B45FB1">
      <w:t xml:space="preserve">Attachment </w:t>
    </w:r>
    <w:r w:rsidR="002A4741">
      <w:t>P-1</w:t>
    </w:r>
  </w:p>
  <w:p w14:paraId="38B86767" w14:textId="77777777" w:rsidR="002A4741" w:rsidRDefault="002A4741" w:rsidP="00E60569">
    <w:pPr>
      <w:pStyle w:val="Header"/>
      <w:contextualSpacing w:val="0"/>
    </w:pPr>
    <w:r>
      <w:t>Minority Issues</w:t>
    </w:r>
  </w:p>
  <w:p w14:paraId="15662405" w14:textId="3EC3A104" w:rsidR="00DA3ADA" w:rsidRDefault="00B45FB1" w:rsidP="00E60569">
    <w:pPr>
      <w:pStyle w:val="Header"/>
      <w:contextualSpacing w:val="0"/>
    </w:pPr>
    <w:r>
      <w:t>WECC-01</w:t>
    </w:r>
    <w:r w:rsidR="00DA3ADA">
      <w:t>4</w:t>
    </w:r>
    <w:r w:rsidR="002A4741">
      <w:t>1</w:t>
    </w:r>
    <w:r w:rsidR="00BC216E">
      <w:t xml:space="preserve"> </w:t>
    </w:r>
    <w:r w:rsidR="00DA3ADA">
      <w:t>FAC-501-WECC-</w:t>
    </w:r>
    <w:r w:rsidR="002A4741">
      <w:t>3</w:t>
    </w:r>
  </w:p>
  <w:p w14:paraId="0A8095D5" w14:textId="34F75B0C" w:rsidR="00DA3ADA" w:rsidRDefault="00DA3ADA" w:rsidP="00E60569">
    <w:pPr>
      <w:pStyle w:val="Header"/>
      <w:contextualSpacing w:val="0"/>
    </w:pPr>
    <w:r>
      <w:t>Transmission Maintenance</w:t>
    </w:r>
  </w:p>
  <w:bookmarkEnd w:id="1"/>
  <w:bookmarkEnd w:id="2"/>
  <w:bookmarkEnd w:id="3"/>
  <w:bookmarkEnd w:id="4"/>
  <w:bookmarkEnd w:id="5"/>
  <w:bookmarkEnd w:id="6"/>
  <w:bookmarkEnd w:id="7"/>
  <w:bookmarkEnd w:id="8"/>
  <w:bookmarkEnd w:id="9"/>
  <w:bookmarkEnd w:id="10"/>
  <w:bookmarkEnd w:id="11"/>
  <w:bookmarkEnd w:id="12"/>
  <w:bookmarkEnd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0000402"/>
    <w:multiLevelType w:val="multilevel"/>
    <w:tmpl w:val="1D9A0A0A"/>
    <w:lvl w:ilvl="0">
      <w:numFmt w:val="bullet"/>
      <w:lvlText w:val=""/>
      <w:lvlJc w:val="left"/>
      <w:pPr>
        <w:ind w:left="840" w:hanging="360"/>
      </w:pPr>
      <w:rPr>
        <w:rFonts w:ascii="Symbol" w:hAnsi="Symbol"/>
        <w:b w:val="0"/>
        <w:w w:val="100"/>
        <w:sz w:val="24"/>
      </w:rPr>
    </w:lvl>
    <w:lvl w:ilvl="1">
      <w:start w:val="1"/>
      <w:numFmt w:val="bullet"/>
      <w:lvlText w:val="o"/>
      <w:lvlJc w:val="left"/>
      <w:pPr>
        <w:ind w:left="1540" w:hanging="360"/>
      </w:pPr>
      <w:rPr>
        <w:rFonts w:ascii="Courier New" w:hAnsi="Courier New" w:hint="default"/>
        <w:b w:val="0"/>
        <w:w w:val="100"/>
        <w:sz w:val="24"/>
      </w:rPr>
    </w:lvl>
    <w:lvl w:ilvl="2">
      <w:numFmt w:val="bullet"/>
      <w:lvlText w:val="•"/>
      <w:lvlJc w:val="left"/>
      <w:pPr>
        <w:ind w:left="2597" w:hanging="360"/>
      </w:pPr>
    </w:lvl>
    <w:lvl w:ilvl="3">
      <w:numFmt w:val="bullet"/>
      <w:lvlText w:val="•"/>
      <w:lvlJc w:val="left"/>
      <w:pPr>
        <w:ind w:left="3655" w:hanging="360"/>
      </w:pPr>
    </w:lvl>
    <w:lvl w:ilvl="4">
      <w:numFmt w:val="bullet"/>
      <w:lvlText w:val="•"/>
      <w:lvlJc w:val="left"/>
      <w:pPr>
        <w:ind w:left="4713" w:hanging="360"/>
      </w:pPr>
    </w:lvl>
    <w:lvl w:ilvl="5">
      <w:numFmt w:val="bullet"/>
      <w:lvlText w:val="•"/>
      <w:lvlJc w:val="left"/>
      <w:pPr>
        <w:ind w:left="5771" w:hanging="360"/>
      </w:pPr>
    </w:lvl>
    <w:lvl w:ilvl="6">
      <w:numFmt w:val="bullet"/>
      <w:lvlText w:val="•"/>
      <w:lvlJc w:val="left"/>
      <w:pPr>
        <w:ind w:left="6828" w:hanging="360"/>
      </w:pPr>
    </w:lvl>
    <w:lvl w:ilvl="7">
      <w:numFmt w:val="bullet"/>
      <w:lvlText w:val="•"/>
      <w:lvlJc w:val="left"/>
      <w:pPr>
        <w:ind w:left="7886" w:hanging="360"/>
      </w:pPr>
    </w:lvl>
    <w:lvl w:ilvl="8">
      <w:numFmt w:val="bullet"/>
      <w:lvlText w:val="•"/>
      <w:lvlJc w:val="left"/>
      <w:pPr>
        <w:ind w:left="8944" w:hanging="360"/>
      </w:pPr>
    </w:lvl>
  </w:abstractNum>
  <w:abstractNum w:abstractNumId="2" w15:restartNumberingAfterBreak="0">
    <w:nsid w:val="00666C4C"/>
    <w:multiLevelType w:val="hybridMultilevel"/>
    <w:tmpl w:val="D966C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F432B"/>
    <w:multiLevelType w:val="hybridMultilevel"/>
    <w:tmpl w:val="0D6C67E4"/>
    <w:lvl w:ilvl="0" w:tplc="FB8486EC">
      <w:start w:val="1"/>
      <w:numFmt w:val="decimal"/>
      <w:lvlText w:val="%1)"/>
      <w:lvlJc w:val="left"/>
      <w:pPr>
        <w:ind w:left="720" w:hanging="360"/>
      </w:pPr>
      <w:rPr>
        <w:rFonts w:ascii="Palatino Linotype" w:eastAsia="Palatino Linotype" w:hAnsi="Palatino Linotyp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97643"/>
    <w:multiLevelType w:val="hybridMultilevel"/>
    <w:tmpl w:val="4BD0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7C5B"/>
    <w:multiLevelType w:val="hybridMultilevel"/>
    <w:tmpl w:val="142C351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40F26D4"/>
    <w:multiLevelType w:val="hybridMultilevel"/>
    <w:tmpl w:val="D2CEB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D3F78"/>
    <w:multiLevelType w:val="hybridMultilevel"/>
    <w:tmpl w:val="77D47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5C451F4"/>
    <w:multiLevelType w:val="hybridMultilevel"/>
    <w:tmpl w:val="7FBA960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3" w15:restartNumberingAfterBreak="0">
    <w:nsid w:val="41B860C1"/>
    <w:multiLevelType w:val="hybridMultilevel"/>
    <w:tmpl w:val="1266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F0284"/>
    <w:multiLevelType w:val="hybridMultilevel"/>
    <w:tmpl w:val="255A6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7085E"/>
    <w:multiLevelType w:val="hybridMultilevel"/>
    <w:tmpl w:val="DC542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7" w15:restartNumberingAfterBreak="0">
    <w:nsid w:val="60840403"/>
    <w:multiLevelType w:val="hybridMultilevel"/>
    <w:tmpl w:val="AEF4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2D41ABC"/>
    <w:multiLevelType w:val="hybridMultilevel"/>
    <w:tmpl w:val="9C24A1D4"/>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1" w15:restartNumberingAfterBreak="0">
    <w:nsid w:val="63C53A24"/>
    <w:multiLevelType w:val="hybridMultilevel"/>
    <w:tmpl w:val="926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F7D02"/>
    <w:multiLevelType w:val="hybridMultilevel"/>
    <w:tmpl w:val="F976E346"/>
    <w:lvl w:ilvl="0" w:tplc="9F38D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25"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498839403">
    <w:abstractNumId w:val="25"/>
  </w:num>
  <w:num w:numId="2" w16cid:durableId="1028526338">
    <w:abstractNumId w:val="16"/>
  </w:num>
  <w:num w:numId="3" w16cid:durableId="1547062034">
    <w:abstractNumId w:val="7"/>
  </w:num>
  <w:num w:numId="4" w16cid:durableId="1734546469">
    <w:abstractNumId w:val="10"/>
  </w:num>
  <w:num w:numId="5" w16cid:durableId="1309439099">
    <w:abstractNumId w:val="26"/>
  </w:num>
  <w:num w:numId="6" w16cid:durableId="895319430">
    <w:abstractNumId w:val="11"/>
  </w:num>
  <w:num w:numId="7" w16cid:durableId="1358191813">
    <w:abstractNumId w:val="24"/>
  </w:num>
  <w:num w:numId="8" w16cid:durableId="556745028">
    <w:abstractNumId w:val="18"/>
  </w:num>
  <w:num w:numId="9" w16cid:durableId="525413162">
    <w:abstractNumId w:val="23"/>
  </w:num>
  <w:num w:numId="10" w16cid:durableId="354425793">
    <w:abstractNumId w:val="0"/>
  </w:num>
  <w:num w:numId="11" w16cid:durableId="1915846435">
    <w:abstractNumId w:val="6"/>
  </w:num>
  <w:num w:numId="12" w16cid:durableId="1138454583">
    <w:abstractNumId w:val="22"/>
  </w:num>
  <w:num w:numId="13" w16cid:durableId="324358803">
    <w:abstractNumId w:val="12"/>
  </w:num>
  <w:num w:numId="14" w16cid:durableId="96101194">
    <w:abstractNumId w:val="21"/>
  </w:num>
  <w:num w:numId="15" w16cid:durableId="1192039271">
    <w:abstractNumId w:val="5"/>
  </w:num>
  <w:num w:numId="16" w16cid:durableId="1363818661">
    <w:abstractNumId w:val="19"/>
  </w:num>
  <w:num w:numId="17" w16cid:durableId="798912530">
    <w:abstractNumId w:val="4"/>
  </w:num>
  <w:num w:numId="18" w16cid:durableId="1883012337">
    <w:abstractNumId w:val="20"/>
  </w:num>
  <w:num w:numId="19" w16cid:durableId="246302983">
    <w:abstractNumId w:val="12"/>
  </w:num>
  <w:num w:numId="20" w16cid:durableId="215894899">
    <w:abstractNumId w:val="1"/>
  </w:num>
  <w:num w:numId="21" w16cid:durableId="135924507">
    <w:abstractNumId w:val="1"/>
  </w:num>
  <w:num w:numId="22" w16cid:durableId="1006245075">
    <w:abstractNumId w:val="14"/>
  </w:num>
  <w:num w:numId="23" w16cid:durableId="1960643144">
    <w:abstractNumId w:val="3"/>
  </w:num>
  <w:num w:numId="24" w16cid:durableId="890921699">
    <w:abstractNumId w:val="2"/>
  </w:num>
  <w:num w:numId="25" w16cid:durableId="1144544618">
    <w:abstractNumId w:val="15"/>
  </w:num>
  <w:num w:numId="26" w16cid:durableId="277639290">
    <w:abstractNumId w:val="17"/>
  </w:num>
  <w:num w:numId="27" w16cid:durableId="1811240200">
    <w:abstractNumId w:val="8"/>
  </w:num>
  <w:num w:numId="28" w16cid:durableId="547835643">
    <w:abstractNumId w:val="9"/>
  </w:num>
  <w:num w:numId="29" w16cid:durableId="301277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F9"/>
    <w:rsid w:val="00011FAB"/>
    <w:rsid w:val="000571CD"/>
    <w:rsid w:val="00086DE0"/>
    <w:rsid w:val="000A1755"/>
    <w:rsid w:val="000F614E"/>
    <w:rsid w:val="00111614"/>
    <w:rsid w:val="001474DF"/>
    <w:rsid w:val="001636D2"/>
    <w:rsid w:val="001A6F0C"/>
    <w:rsid w:val="001B7CE9"/>
    <w:rsid w:val="001C4982"/>
    <w:rsid w:val="001E4334"/>
    <w:rsid w:val="001E6E15"/>
    <w:rsid w:val="002122A7"/>
    <w:rsid w:val="002267AC"/>
    <w:rsid w:val="0022692D"/>
    <w:rsid w:val="00245949"/>
    <w:rsid w:val="00255412"/>
    <w:rsid w:val="002A4741"/>
    <w:rsid w:val="002A59FD"/>
    <w:rsid w:val="002B088E"/>
    <w:rsid w:val="002B4DA5"/>
    <w:rsid w:val="002C24C2"/>
    <w:rsid w:val="002E1330"/>
    <w:rsid w:val="002E4C6E"/>
    <w:rsid w:val="00323BC9"/>
    <w:rsid w:val="00324B90"/>
    <w:rsid w:val="00377AFC"/>
    <w:rsid w:val="00394B84"/>
    <w:rsid w:val="003B7161"/>
    <w:rsid w:val="003E1973"/>
    <w:rsid w:val="00426BCF"/>
    <w:rsid w:val="0043738A"/>
    <w:rsid w:val="004C3CB9"/>
    <w:rsid w:val="004D1F97"/>
    <w:rsid w:val="004D3AE9"/>
    <w:rsid w:val="004D6B4C"/>
    <w:rsid w:val="00550DB3"/>
    <w:rsid w:val="005C4497"/>
    <w:rsid w:val="005D238C"/>
    <w:rsid w:val="005D30D4"/>
    <w:rsid w:val="005F4270"/>
    <w:rsid w:val="00603CB7"/>
    <w:rsid w:val="00636EFE"/>
    <w:rsid w:val="0064054C"/>
    <w:rsid w:val="00674510"/>
    <w:rsid w:val="006A1F28"/>
    <w:rsid w:val="006B1134"/>
    <w:rsid w:val="006E0172"/>
    <w:rsid w:val="007130D6"/>
    <w:rsid w:val="007149C7"/>
    <w:rsid w:val="007577F8"/>
    <w:rsid w:val="00760856"/>
    <w:rsid w:val="00761FA8"/>
    <w:rsid w:val="00773D26"/>
    <w:rsid w:val="0079598F"/>
    <w:rsid w:val="007A46E1"/>
    <w:rsid w:val="007B6435"/>
    <w:rsid w:val="007B7780"/>
    <w:rsid w:val="007E6C09"/>
    <w:rsid w:val="008474B6"/>
    <w:rsid w:val="00876E3F"/>
    <w:rsid w:val="008C4E5B"/>
    <w:rsid w:val="008E7488"/>
    <w:rsid w:val="008F3E53"/>
    <w:rsid w:val="00935FB4"/>
    <w:rsid w:val="00937FDD"/>
    <w:rsid w:val="009A4D48"/>
    <w:rsid w:val="009B19EE"/>
    <w:rsid w:val="009E040B"/>
    <w:rsid w:val="009E1D07"/>
    <w:rsid w:val="00A04584"/>
    <w:rsid w:val="00A323FE"/>
    <w:rsid w:val="00AA0874"/>
    <w:rsid w:val="00AE7787"/>
    <w:rsid w:val="00B2550C"/>
    <w:rsid w:val="00B45FB1"/>
    <w:rsid w:val="00B800F9"/>
    <w:rsid w:val="00B9772D"/>
    <w:rsid w:val="00B97FAA"/>
    <w:rsid w:val="00BA7DBE"/>
    <w:rsid w:val="00BB3995"/>
    <w:rsid w:val="00BB3DD9"/>
    <w:rsid w:val="00BC216E"/>
    <w:rsid w:val="00BF79BD"/>
    <w:rsid w:val="00C05765"/>
    <w:rsid w:val="00C11B97"/>
    <w:rsid w:val="00C363A8"/>
    <w:rsid w:val="00C43578"/>
    <w:rsid w:val="00CC4A16"/>
    <w:rsid w:val="00CF774D"/>
    <w:rsid w:val="00D14F57"/>
    <w:rsid w:val="00D15129"/>
    <w:rsid w:val="00D21EAF"/>
    <w:rsid w:val="00D62149"/>
    <w:rsid w:val="00D636B1"/>
    <w:rsid w:val="00D7403B"/>
    <w:rsid w:val="00DA3ADA"/>
    <w:rsid w:val="00DC2931"/>
    <w:rsid w:val="00DE7133"/>
    <w:rsid w:val="00E115FD"/>
    <w:rsid w:val="00E5288E"/>
    <w:rsid w:val="00E5719E"/>
    <w:rsid w:val="00E60569"/>
    <w:rsid w:val="00E63934"/>
    <w:rsid w:val="00EA2394"/>
    <w:rsid w:val="00EC4B79"/>
    <w:rsid w:val="00ED3C01"/>
    <w:rsid w:val="00EE461E"/>
    <w:rsid w:val="00F70B9F"/>
    <w:rsid w:val="00F82512"/>
    <w:rsid w:val="00F853EC"/>
    <w:rsid w:val="00F86A26"/>
    <w:rsid w:val="00F8781A"/>
    <w:rsid w:val="00F904C8"/>
    <w:rsid w:val="00F90B9E"/>
    <w:rsid w:val="00F9454C"/>
    <w:rsid w:val="00FE6A90"/>
    <w:rsid w:val="00FF6A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95DF45"/>
  <w15:chartTrackingRefBased/>
  <w15:docId w15:val="{60B315E6-3F2B-44A1-A1C1-291170B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F90B9E"/>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F90B9E"/>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customStyle="1" w:styleId="UnresolvedMention1">
    <w:name w:val="Unresolved Mention1"/>
    <w:basedOn w:val="DefaultParagraphFont"/>
    <w:uiPriority w:val="99"/>
    <w:semiHidden/>
    <w:unhideWhenUsed/>
    <w:rsid w:val="00FF6AB5"/>
    <w:rPr>
      <w:color w:val="605E5C"/>
      <w:shd w:val="clear" w:color="auto" w:fill="E1DFDD"/>
    </w:rPr>
  </w:style>
  <w:style w:type="paragraph" w:styleId="BodyText">
    <w:name w:val="Body Text"/>
    <w:basedOn w:val="Normal"/>
    <w:link w:val="BodyTextChar"/>
    <w:uiPriority w:val="1"/>
    <w:qFormat/>
    <w:rsid w:val="00AA0874"/>
    <w:pPr>
      <w:widowControl w:val="0"/>
      <w:autoSpaceDE w:val="0"/>
      <w:autoSpaceDN w:val="0"/>
      <w:adjustRightInd w:val="0"/>
      <w:spacing w:after="0" w:line="292" w:lineRule="exact"/>
      <w:ind w:left="840" w:hanging="360"/>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1"/>
    <w:rsid w:val="00AA0874"/>
    <w:rPr>
      <w:rFonts w:ascii="Arial Narrow" w:eastAsiaTheme="minorEastAsia" w:hAnsi="Arial Narrow" w:cs="Arial Narrow"/>
      <w:sz w:val="24"/>
      <w:szCs w:val="24"/>
    </w:rPr>
  </w:style>
  <w:style w:type="paragraph" w:styleId="Revision">
    <w:name w:val="Revision"/>
    <w:hidden/>
    <w:uiPriority w:val="99"/>
    <w:semiHidden/>
    <w:rsid w:val="005C4497"/>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726">
      <w:bodyDiv w:val="1"/>
      <w:marLeft w:val="0"/>
      <w:marRight w:val="0"/>
      <w:marTop w:val="0"/>
      <w:marBottom w:val="0"/>
      <w:divBdr>
        <w:top w:val="none" w:sz="0" w:space="0" w:color="auto"/>
        <w:left w:val="none" w:sz="0" w:space="0" w:color="auto"/>
        <w:bottom w:val="none" w:sz="0" w:space="0" w:color="auto"/>
        <w:right w:val="none" w:sz="0" w:space="0" w:color="auto"/>
      </w:divBdr>
      <w:divsChild>
        <w:div w:id="383069175">
          <w:marLeft w:val="0"/>
          <w:marRight w:val="0"/>
          <w:marTop w:val="0"/>
          <w:marBottom w:val="0"/>
          <w:divBdr>
            <w:top w:val="none" w:sz="0" w:space="0" w:color="auto"/>
            <w:left w:val="none" w:sz="0" w:space="0" w:color="auto"/>
            <w:bottom w:val="none" w:sz="0" w:space="0" w:color="auto"/>
            <w:right w:val="none" w:sz="0" w:space="0" w:color="auto"/>
          </w:divBdr>
          <w:divsChild>
            <w:div w:id="630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895">
      <w:bodyDiv w:val="1"/>
      <w:marLeft w:val="0"/>
      <w:marRight w:val="0"/>
      <w:marTop w:val="0"/>
      <w:marBottom w:val="0"/>
      <w:divBdr>
        <w:top w:val="none" w:sz="0" w:space="0" w:color="auto"/>
        <w:left w:val="none" w:sz="0" w:space="0" w:color="auto"/>
        <w:bottom w:val="none" w:sz="0" w:space="0" w:color="auto"/>
        <w:right w:val="none" w:sz="0" w:space="0" w:color="auto"/>
      </w:divBdr>
    </w:div>
    <w:div w:id="1517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YWEQ7USXTMD7-3-13843</_dlc_DocId>
    <_dlc_DocIdUrl xmlns="4bd63098-0c83-43cf-abdd-085f2cc55a51">
      <Url>https://internal.wecc.org/_layouts/15/DocIdRedir.aspx?ID=YWEQ7USXTMD7-3-13843</Url>
      <Description>YWEQ7USXTMD7-3-13843</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6D8D0452-BD6C-4123-98FC-16C9C79DBB43}">
  <ds:schemaRefs>
    <ds:schemaRef ds:uri="http://schemas.openxmlformats.org/officeDocument/2006/bibliography"/>
  </ds:schemaRefs>
</ds:datastoreItem>
</file>

<file path=customXml/itemProps2.xml><?xml version="1.0" encoding="utf-8"?>
<ds:datastoreItem xmlns:ds="http://schemas.openxmlformats.org/officeDocument/2006/customXml" ds:itemID="{911B6C22-647C-4C2C-A9E4-4737D95F1E7A}"/>
</file>

<file path=customXml/itemProps3.xml><?xml version="1.0" encoding="utf-8"?>
<ds:datastoreItem xmlns:ds="http://schemas.openxmlformats.org/officeDocument/2006/customXml" ds:itemID="{7AD9A746-00BF-404F-AB27-9875FA7EE0E2}"/>
</file>

<file path=customXml/itemProps4.xml><?xml version="1.0" encoding="utf-8"?>
<ds:datastoreItem xmlns:ds="http://schemas.openxmlformats.org/officeDocument/2006/customXml" ds:itemID="{20ACB197-73D2-40ED-BF5D-6204C7286F82}"/>
</file>

<file path=customXml/itemProps5.xml><?xml version="1.0" encoding="utf-8"?>
<ds:datastoreItem xmlns:ds="http://schemas.openxmlformats.org/officeDocument/2006/customXml" ds:itemID="{6433C76E-007E-41C0-915C-10A4615BE371}"/>
</file>

<file path=docProps/app.xml><?xml version="1.0" encoding="utf-8"?>
<Properties xmlns="http://schemas.openxmlformats.org/officeDocument/2006/extended-properties" xmlns:vt="http://schemas.openxmlformats.org/officeDocument/2006/docPropsVTypes">
  <Template>Normal</Template>
  <TotalTime>92</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P-1 Minority Issues WECC-0141</dc:title>
  <dc:subject/>
  <dc:creator>Coleman, Chad</dc:creator>
  <cp:keywords>NERCFilings; WECC-0149; NERC Filings</cp:keywords>
  <dc:description/>
  <cp:lastModifiedBy>Rueckert, Steve</cp:lastModifiedBy>
  <cp:revision>7</cp:revision>
  <cp:lastPrinted>2020-05-14T23:30:00Z</cp:lastPrinted>
  <dcterms:created xsi:type="dcterms:W3CDTF">2023-12-19T20:57:00Z</dcterms:created>
  <dcterms:modified xsi:type="dcterms:W3CDTF">2024-02-21T22:15:00Z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2023-07-10T20:09:08Z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32029c6d-8ee0-4d1c-b0d4-e5ed9835aea6</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ce6f20ae-737c-46ea-92a5-c424e79bff1a</vt:lpwstr>
  </property>
  <property fmtid="{D5CDD505-2E9C-101B-9397-08002B2CF9AE}" pid="14" name="TaxKeyword">
    <vt:lpwstr>2282;#WECC-0149|aeb87f78-01e4-41a0-a32d-bb9fb8183042;#2419;#NERCFilings|0e89d8f0-e018-45cc-b5bf-f537405b2363;#1539;#NERC Filings|38da0236-f1a7-4cb0-b512-0acfdf6fb813</vt:lpwstr>
  </property>
</Properties>
</file>