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1E21" w14:textId="77777777" w:rsidR="00684847" w:rsidRPr="0037776A" w:rsidRDefault="00684847" w:rsidP="00684847">
      <w:pPr>
        <w:jc w:val="center"/>
        <w:rPr>
          <w:rFonts w:ascii="Palatino Linotype" w:hAnsi="Palatino Linotype"/>
        </w:rPr>
      </w:pPr>
    </w:p>
    <w:p w14:paraId="22299847" w14:textId="77777777" w:rsidR="00684847" w:rsidRPr="0037776A" w:rsidRDefault="00684847" w:rsidP="00684847">
      <w:pPr>
        <w:jc w:val="center"/>
        <w:rPr>
          <w:rFonts w:ascii="Palatino Linotype" w:hAnsi="Palatino Linotype"/>
        </w:rPr>
      </w:pPr>
    </w:p>
    <w:p w14:paraId="30C3AFCA" w14:textId="77777777" w:rsidR="00684847" w:rsidRPr="0037776A" w:rsidRDefault="00684847" w:rsidP="00684847">
      <w:pPr>
        <w:jc w:val="center"/>
        <w:rPr>
          <w:rFonts w:ascii="Palatino Linotype" w:hAnsi="Palatino Linotype"/>
        </w:rPr>
      </w:pPr>
    </w:p>
    <w:p w14:paraId="5E3BA39C" w14:textId="77777777" w:rsidR="00684847" w:rsidRPr="0037776A" w:rsidRDefault="00684847" w:rsidP="00684847">
      <w:pPr>
        <w:jc w:val="center"/>
        <w:rPr>
          <w:rFonts w:ascii="Palatino Linotype" w:hAnsi="Palatino Linotype"/>
        </w:rPr>
      </w:pPr>
    </w:p>
    <w:p w14:paraId="31007F99" w14:textId="77777777" w:rsidR="00684847" w:rsidRPr="0037776A" w:rsidRDefault="00684847" w:rsidP="00684847">
      <w:pPr>
        <w:jc w:val="center"/>
        <w:rPr>
          <w:rFonts w:ascii="Palatino Linotype" w:hAnsi="Palatino Linotype"/>
        </w:rPr>
      </w:pPr>
    </w:p>
    <w:p w14:paraId="7B2BE7F2" w14:textId="77777777" w:rsidR="00684847" w:rsidRPr="0037776A" w:rsidRDefault="00684847" w:rsidP="00684847">
      <w:pPr>
        <w:jc w:val="center"/>
        <w:rPr>
          <w:rFonts w:ascii="Palatino Linotype" w:hAnsi="Palatino Linotype"/>
        </w:rPr>
      </w:pPr>
    </w:p>
    <w:p w14:paraId="5E6E272C" w14:textId="77777777" w:rsidR="00684847" w:rsidRPr="0037776A" w:rsidRDefault="00684847" w:rsidP="00684847">
      <w:pPr>
        <w:jc w:val="center"/>
        <w:rPr>
          <w:rFonts w:ascii="Palatino Linotype" w:hAnsi="Palatino Linotype"/>
        </w:rPr>
      </w:pPr>
    </w:p>
    <w:p w14:paraId="42E1B15B" w14:textId="77777777" w:rsidR="00F82512" w:rsidRPr="0037776A" w:rsidRDefault="00866213" w:rsidP="00684847">
      <w:pPr>
        <w:jc w:val="center"/>
        <w:rPr>
          <w:rFonts w:ascii="Palatino Linotype" w:hAnsi="Palatino Linotype"/>
        </w:rPr>
      </w:pPr>
      <w:r w:rsidRPr="0037776A">
        <w:rPr>
          <w:rFonts w:ascii="Palatino Linotype" w:hAnsi="Palatino Linotype"/>
          <w:noProof/>
        </w:rPr>
        <w:drawing>
          <wp:inline distT="0" distB="0" distL="0" distR="0" wp14:anchorId="04F3DB68" wp14:editId="2F62025C">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467015" cy="1097280"/>
                    </a:xfrm>
                    <a:prstGeom prst="rect">
                      <a:avLst/>
                    </a:prstGeom>
                  </pic:spPr>
                </pic:pic>
              </a:graphicData>
            </a:graphic>
          </wp:inline>
        </w:drawing>
      </w:r>
    </w:p>
    <w:p w14:paraId="675DB8E3" w14:textId="77777777" w:rsidR="00684847" w:rsidRPr="0037776A" w:rsidRDefault="00684847" w:rsidP="00684847">
      <w:pPr>
        <w:pStyle w:val="Title"/>
        <w:pBdr>
          <w:bottom w:val="single" w:sz="24" w:space="1" w:color="00395D" w:themeColor="accent1"/>
        </w:pBdr>
        <w:rPr>
          <w:rFonts w:ascii="Palatino Linotype" w:hAnsi="Palatino Linotype"/>
          <w:sz w:val="22"/>
          <w:szCs w:val="22"/>
        </w:rPr>
      </w:pPr>
    </w:p>
    <w:p w14:paraId="118ACB96" w14:textId="77777777" w:rsidR="00684847" w:rsidRPr="0037776A" w:rsidRDefault="00684847" w:rsidP="00684847">
      <w:pPr>
        <w:jc w:val="center"/>
        <w:rPr>
          <w:rFonts w:ascii="Palatino Linotype" w:hAnsi="Palatino Linotype"/>
        </w:rPr>
      </w:pPr>
    </w:p>
    <w:p w14:paraId="14B0FB48" w14:textId="77777777" w:rsidR="00F45779" w:rsidRPr="006618A2" w:rsidRDefault="00F45779" w:rsidP="006618A2">
      <w:pPr>
        <w:pStyle w:val="Title"/>
      </w:pPr>
      <w:r w:rsidRPr="006618A2">
        <w:t>WECC-0141 FAC-501-WECC-3</w:t>
      </w:r>
    </w:p>
    <w:p w14:paraId="000961BC" w14:textId="5C1911D4" w:rsidR="00D75B9B" w:rsidRPr="006618A2" w:rsidRDefault="00F45779" w:rsidP="006618A2">
      <w:pPr>
        <w:pStyle w:val="Subtitle"/>
      </w:pPr>
      <w:r w:rsidRPr="006618A2">
        <w:t>Transmission Maintenance</w:t>
      </w:r>
      <w:r w:rsidR="006618A2" w:rsidRPr="006618A2">
        <w:br/>
      </w:r>
      <w:r w:rsidRPr="006618A2">
        <w:t>Posting</w:t>
      </w:r>
      <w:r w:rsidR="001C3254" w:rsidRPr="006618A2">
        <w:t xml:space="preserve"> 2</w:t>
      </w:r>
      <w:r w:rsidR="006618A2" w:rsidRPr="006618A2">
        <w:t xml:space="preserve">, </w:t>
      </w:r>
      <w:r w:rsidR="00272BF9">
        <w:t>Final</w:t>
      </w:r>
      <w:r w:rsidR="006618A2" w:rsidRPr="006618A2">
        <w:br/>
      </w:r>
      <w:r w:rsidR="001C3254" w:rsidRPr="006618A2">
        <w:t xml:space="preserve">Request to </w:t>
      </w:r>
      <w:r w:rsidR="00D75B9B" w:rsidRPr="006618A2">
        <w:t>Modify</w:t>
      </w:r>
      <w:r w:rsidR="006618A2" w:rsidRPr="006618A2">
        <w:t xml:space="preserve"> </w:t>
      </w:r>
      <w:r w:rsidR="00D75B9B" w:rsidRPr="006618A2">
        <w:t>FAC-501-WECC-3,</w:t>
      </w:r>
      <w:r w:rsidR="000F1D70">
        <w:t xml:space="preserve"> </w:t>
      </w:r>
      <w:r w:rsidR="00D75B9B" w:rsidRPr="006618A2">
        <w:t>Transmission Maintenance</w:t>
      </w:r>
    </w:p>
    <w:p w14:paraId="02F709F9" w14:textId="77777777" w:rsidR="00902C28" w:rsidRPr="006618A2" w:rsidRDefault="00F45779" w:rsidP="006618A2">
      <w:pPr>
        <w:pStyle w:val="Subtitle"/>
      </w:pPr>
      <w:r w:rsidRPr="006618A2">
        <w:t>WECC-0141 Drafting Team</w:t>
      </w:r>
    </w:p>
    <w:p w14:paraId="5A46358F" w14:textId="1C466C50" w:rsidR="00684847" w:rsidRPr="006618A2" w:rsidRDefault="00684847" w:rsidP="006618A2">
      <w:pPr>
        <w:pStyle w:val="Subtitle"/>
        <w:rPr>
          <w:highlight w:val="cyan"/>
        </w:rPr>
      </w:pPr>
    </w:p>
    <w:p w14:paraId="52F3F5C5" w14:textId="4F75F06F" w:rsidR="00902C28" w:rsidRPr="0037776A" w:rsidRDefault="00684847" w:rsidP="00950151">
      <w:pPr>
        <w:rPr>
          <w:rFonts w:ascii="Palatino Linotype" w:hAnsi="Palatino Linotype"/>
        </w:rPr>
      </w:pPr>
      <w:r w:rsidRPr="0037776A">
        <w:rPr>
          <w:rFonts w:ascii="Palatino Linotype" w:hAnsi="Palatino Linotype"/>
        </w:rPr>
        <w:br w:type="page"/>
      </w:r>
    </w:p>
    <w:p w14:paraId="2A02E199" w14:textId="77777777" w:rsidR="001B57D3" w:rsidRPr="0037776A" w:rsidRDefault="001B57D3" w:rsidP="00BF1B07">
      <w:pPr>
        <w:pStyle w:val="Introduction"/>
      </w:pPr>
      <w:r>
        <w:lastRenderedPageBreak/>
        <w:t>Executive Summary</w:t>
      </w:r>
    </w:p>
    <w:p w14:paraId="4B957955" w14:textId="5E675974" w:rsidR="001B57D3" w:rsidRDefault="001B57D3" w:rsidP="001B57D3">
      <w:r>
        <w:t>Throughout 2018 and 2019, Arizona Public Service (APS) worked with WECC staff, the Reliability Assessment Committee, the Studies Subcommittee, and the affected entities to have Paths 22, 50, and 51 removed from the WECC Path Rating Catalog.</w:t>
      </w:r>
      <w:r>
        <w:rPr>
          <w:rStyle w:val="FootnoteReference"/>
        </w:rPr>
        <w:footnoteReference w:id="1"/>
      </w:r>
      <w:r>
        <w:t xml:space="preserve"> After following an open and transparent process supported by technical studies, the three paths were removed from the catalog, effective January 1, 2020. </w:t>
      </w:r>
    </w:p>
    <w:p w14:paraId="405C880C" w14:textId="56C90660" w:rsidR="001B57D3" w:rsidRPr="003F6E2B" w:rsidRDefault="001B57D3" w:rsidP="001B57D3">
      <w:r w:rsidRPr="00A37D46">
        <w:t xml:space="preserve">On December 19, 2019, </w:t>
      </w:r>
      <w:r>
        <w:t xml:space="preserve">APS </w:t>
      </w:r>
      <w:r w:rsidRPr="00A37D46">
        <w:t>filed Standard Authorization Request (</w:t>
      </w:r>
      <w:hyperlink r:id="rId14" w:history="1">
        <w:r w:rsidRPr="00A37D46">
          <w:rPr>
            <w:rStyle w:val="Hyperlink"/>
          </w:rPr>
          <w:t>SAR</w:t>
        </w:r>
      </w:hyperlink>
      <w:r w:rsidRPr="00A37D46">
        <w:t>) WECC-0141 FAC-501-WECC-</w:t>
      </w:r>
      <w:r>
        <w:t>3</w:t>
      </w:r>
      <w:r w:rsidRPr="00A37D46">
        <w:t xml:space="preserve">, Transmission Maintenance (FAC), requesting </w:t>
      </w:r>
      <w:r>
        <w:t xml:space="preserve">removal of </w:t>
      </w:r>
      <w:r w:rsidRPr="00A37D46">
        <w:t>APS Paths 22, 50</w:t>
      </w:r>
      <w:r>
        <w:t xml:space="preserve">, </w:t>
      </w:r>
      <w:r w:rsidRPr="00A37D46">
        <w:t xml:space="preserve">and 51 </w:t>
      </w:r>
      <w:r>
        <w:t xml:space="preserve">from FAC-501-WECC-2, Attachment B, </w:t>
      </w:r>
      <w:r w:rsidRPr="00A37D46">
        <w:t>Major WECC Transfer Paths in the Bulk Electric System</w:t>
      </w:r>
      <w:r>
        <w:t xml:space="preserve"> (Attachment B)</w:t>
      </w:r>
      <w:r w:rsidRPr="00A37D46">
        <w:t>.</w:t>
      </w:r>
      <w:r>
        <w:rPr>
          <w:rStyle w:val="FootnoteReference"/>
        </w:rPr>
        <w:footnoteReference w:id="2"/>
      </w:r>
      <w:r>
        <w:t xml:space="preserve"> To implement </w:t>
      </w:r>
      <w:r w:rsidRPr="003F6E2B">
        <w:t>that change, the APS request must be processed again using the WECC Reliability Standards Development Procedures (Procedures).</w:t>
      </w:r>
    </w:p>
    <w:p w14:paraId="38DC09DA" w14:textId="77777777" w:rsidR="001B57D3" w:rsidRPr="003F6E2B" w:rsidRDefault="001B57D3" w:rsidP="001B57D3">
      <w:r w:rsidRPr="003F6E2B">
        <w:t xml:space="preserve">If approved, this project would: </w:t>
      </w:r>
    </w:p>
    <w:p w14:paraId="6C72D3B3" w14:textId="77777777" w:rsidR="001B57D3" w:rsidRPr="003F6E2B" w:rsidRDefault="001B57D3" w:rsidP="001B57D3">
      <w:pPr>
        <w:pStyle w:val="ListParagraph"/>
        <w:numPr>
          <w:ilvl w:val="0"/>
          <w:numId w:val="47"/>
        </w:numPr>
      </w:pPr>
      <w:r w:rsidRPr="003F6E2B">
        <w:t>Create a streamlined process whereby changes could be made to Attachment B, outside of the Procedures, subject to an information filing with NERC and FERC.</w:t>
      </w:r>
    </w:p>
    <w:p w14:paraId="0C305C43" w14:textId="77777777" w:rsidR="001B57D3" w:rsidRPr="003F6E2B" w:rsidRDefault="001B57D3" w:rsidP="001B57D3">
      <w:pPr>
        <w:pStyle w:val="ListParagraph"/>
        <w:numPr>
          <w:ilvl w:val="0"/>
          <w:numId w:val="47"/>
        </w:numPr>
      </w:pPr>
      <w:r w:rsidRPr="003F6E2B">
        <w:rPr>
          <w:rFonts w:eastAsia="Times New Roman" w:cs="Times New Roman"/>
        </w:rPr>
        <w:t xml:space="preserve">Establish the baseline of technical support required to add or remove an asset from Attachment B. </w:t>
      </w:r>
    </w:p>
    <w:p w14:paraId="36502EE9" w14:textId="04F9AE83" w:rsidR="001B57D3" w:rsidRDefault="001B57D3" w:rsidP="001B57D3">
      <w:pPr>
        <w:pStyle w:val="ListParagraph"/>
        <w:numPr>
          <w:ilvl w:val="0"/>
          <w:numId w:val="47"/>
        </w:numPr>
      </w:pPr>
      <w:r>
        <w:t>Remove Paths 22, 50, and 51 from Attachment B, acknowledging that APS has already met the spirit and intent of the proposed process (Attachment C, Revision Process) augmented by the full rigors of the Procedures.</w:t>
      </w:r>
    </w:p>
    <w:p w14:paraId="3D247FCE" w14:textId="72CFB304" w:rsidR="001B57D3" w:rsidRPr="00881054" w:rsidRDefault="001B57D3" w:rsidP="001B57D3">
      <w:pPr>
        <w:rPr>
          <w:rFonts w:ascii="Palatino Linotype" w:hAnsi="Palatino Linotype"/>
          <w:i/>
        </w:rPr>
      </w:pPr>
      <w:r w:rsidRPr="00881054">
        <w:rPr>
          <w:rFonts w:ascii="Palatino Linotype" w:hAnsi="Palatino Linotype"/>
          <w:i/>
        </w:rPr>
        <w:t>For clarity, Attachment C is not proposed as part of the FAC.</w:t>
      </w:r>
      <w:r>
        <w:rPr>
          <w:rFonts w:ascii="Palatino Linotype" w:hAnsi="Palatino Linotype"/>
          <w:i/>
        </w:rPr>
        <w:t xml:space="preserve"> </w:t>
      </w:r>
    </w:p>
    <w:p w14:paraId="5CE902AF" w14:textId="51CCE87C" w:rsidR="006618A2" w:rsidRDefault="001B57D3" w:rsidP="009411CD">
      <w:pPr>
        <w:rPr>
          <w:rFonts w:asciiTheme="majorHAnsi" w:eastAsiaTheme="majorEastAsia" w:hAnsiTheme="majorHAnsi" w:cstheme="majorBidi"/>
          <w:b/>
          <w:color w:val="00395D" w:themeColor="accent1"/>
          <w:sz w:val="32"/>
          <w:szCs w:val="32"/>
        </w:rPr>
      </w:pPr>
      <w:r>
        <w:rPr>
          <w:rFonts w:ascii="Palatino Linotype" w:hAnsi="Palatino Linotype"/>
        </w:rPr>
        <w:t>Attachment C is a proposed streamlined process for revisions to the FAC, Attachment B</w:t>
      </w:r>
      <w:r w:rsidR="009411CD">
        <w:rPr>
          <w:rFonts w:ascii="Palatino Linotype" w:hAnsi="Palatino Linotype"/>
        </w:rPr>
        <w:t>,</w:t>
      </w:r>
      <w:r>
        <w:rPr>
          <w:rFonts w:ascii="Palatino Linotype" w:hAnsi="Palatino Linotype"/>
        </w:rPr>
        <w:t xml:space="preserve"> and creates the framework for establishing a baseline of technical knowledge supporting the future addition or removal of an asset from Attachment B. As such, it is intentionally not drafted with the same detail or voice afforded the requirements of a standard. For an example of how Attachment C interfaces with the rest of the standard, please see </w:t>
      </w:r>
      <w:r>
        <w:t>BAL-001-TRE—Primary Frequency Response in the ERCOT Region, Standards Attachment, Attachment 1</w:t>
      </w:r>
      <w:r w:rsidR="009411CD">
        <w:t>,</w:t>
      </w:r>
      <w:r>
        <w:t xml:space="preserve"> where a similar approach is already approved by FERC.</w:t>
      </w:r>
      <w:r w:rsidR="006618A2">
        <w:br w:type="page"/>
      </w:r>
    </w:p>
    <w:p w14:paraId="10C80EE9" w14:textId="3DDF9314" w:rsidR="006E3451" w:rsidRDefault="009A35CF" w:rsidP="0080230F">
      <w:pPr>
        <w:pStyle w:val="TOCHeading"/>
        <w:spacing w:after="120" w:line="276" w:lineRule="auto"/>
        <w:rPr>
          <w:noProof/>
        </w:rPr>
      </w:pPr>
      <w:r w:rsidRPr="00BF1B07">
        <w:lastRenderedPageBreak/>
        <w:t>Table of Contents</w:t>
      </w:r>
      <w:r w:rsidR="004F59D2" w:rsidRPr="00BF1B07">
        <w:t xml:space="preserve"> </w:t>
      </w:r>
      <w:r w:rsidR="00270EA9" w:rsidRPr="0037776A">
        <w:fldChar w:fldCharType="begin"/>
      </w:r>
      <w:r w:rsidR="00270EA9" w:rsidRPr="00BF1B07">
        <w:instrText xml:space="preserve"> TOC \o "1-3" \h \z \u </w:instrText>
      </w:r>
      <w:r w:rsidR="00270EA9" w:rsidRPr="0037776A">
        <w:fldChar w:fldCharType="separate"/>
      </w:r>
    </w:p>
    <w:p w14:paraId="65F0B026" w14:textId="4E7C6ADF" w:rsidR="006E3451" w:rsidRDefault="0080230F">
      <w:pPr>
        <w:pStyle w:val="TOC1"/>
        <w:rPr>
          <w:rFonts w:eastAsiaTheme="minorEastAsia"/>
          <w:b w:val="0"/>
        </w:rPr>
      </w:pPr>
      <w:hyperlink w:anchor="_Toc60910991" w:history="1">
        <w:r w:rsidR="006E3451" w:rsidRPr="00D50905">
          <w:rPr>
            <w:rStyle w:val="Hyperlink"/>
          </w:rPr>
          <w:t>Structure and Overview—Posting 2</w:t>
        </w:r>
        <w:r w:rsidR="006E3451">
          <w:rPr>
            <w:webHidden/>
          </w:rPr>
          <w:tab/>
        </w:r>
        <w:r w:rsidR="006E3451">
          <w:rPr>
            <w:webHidden/>
          </w:rPr>
          <w:fldChar w:fldCharType="begin"/>
        </w:r>
        <w:r w:rsidR="006E3451">
          <w:rPr>
            <w:webHidden/>
          </w:rPr>
          <w:instrText xml:space="preserve"> PAGEREF _Toc60910991 \h </w:instrText>
        </w:r>
        <w:r w:rsidR="006E3451">
          <w:rPr>
            <w:webHidden/>
          </w:rPr>
        </w:r>
        <w:r w:rsidR="006E3451">
          <w:rPr>
            <w:webHidden/>
          </w:rPr>
          <w:fldChar w:fldCharType="separate"/>
        </w:r>
        <w:r w:rsidR="006E3451">
          <w:rPr>
            <w:webHidden/>
          </w:rPr>
          <w:t>4</w:t>
        </w:r>
        <w:r w:rsidR="006E3451">
          <w:rPr>
            <w:webHidden/>
          </w:rPr>
          <w:fldChar w:fldCharType="end"/>
        </w:r>
      </w:hyperlink>
    </w:p>
    <w:p w14:paraId="5DA281C9" w14:textId="58804FD2" w:rsidR="006E3451" w:rsidRDefault="0080230F">
      <w:pPr>
        <w:pStyle w:val="TOC1"/>
        <w:rPr>
          <w:rFonts w:eastAsiaTheme="minorEastAsia"/>
          <w:b w:val="0"/>
        </w:rPr>
      </w:pPr>
      <w:hyperlink w:anchor="_Toc60910992" w:history="1">
        <w:r w:rsidR="006E3451" w:rsidRPr="00D50905">
          <w:rPr>
            <w:rStyle w:val="Hyperlink"/>
          </w:rPr>
          <w:t>Development</w:t>
        </w:r>
        <w:r w:rsidR="006E3451">
          <w:rPr>
            <w:webHidden/>
          </w:rPr>
          <w:tab/>
        </w:r>
        <w:r w:rsidR="006E3451">
          <w:rPr>
            <w:webHidden/>
          </w:rPr>
          <w:fldChar w:fldCharType="begin"/>
        </w:r>
        <w:r w:rsidR="006E3451">
          <w:rPr>
            <w:webHidden/>
          </w:rPr>
          <w:instrText xml:space="preserve"> PAGEREF _Toc60910992 \h </w:instrText>
        </w:r>
        <w:r w:rsidR="006E3451">
          <w:rPr>
            <w:webHidden/>
          </w:rPr>
        </w:r>
        <w:r w:rsidR="006E3451">
          <w:rPr>
            <w:webHidden/>
          </w:rPr>
          <w:fldChar w:fldCharType="separate"/>
        </w:r>
        <w:r w:rsidR="006E3451">
          <w:rPr>
            <w:webHidden/>
          </w:rPr>
          <w:t>4</w:t>
        </w:r>
        <w:r w:rsidR="006E3451">
          <w:rPr>
            <w:webHidden/>
          </w:rPr>
          <w:fldChar w:fldCharType="end"/>
        </w:r>
      </w:hyperlink>
    </w:p>
    <w:p w14:paraId="3E59F002" w14:textId="703FC2A2" w:rsidR="006E3451" w:rsidRDefault="0080230F">
      <w:pPr>
        <w:pStyle w:val="TOC2"/>
        <w:rPr>
          <w:rFonts w:eastAsiaTheme="minorEastAsia"/>
        </w:rPr>
      </w:pPr>
      <w:hyperlink w:anchor="_Toc60910993" w:history="1">
        <w:r w:rsidR="006E3451" w:rsidRPr="00D50905">
          <w:rPr>
            <w:rStyle w:val="Hyperlink"/>
          </w:rPr>
          <w:t>Historical Development</w:t>
        </w:r>
        <w:r w:rsidR="006E3451">
          <w:rPr>
            <w:webHidden/>
          </w:rPr>
          <w:tab/>
        </w:r>
        <w:r w:rsidR="006E3451">
          <w:rPr>
            <w:webHidden/>
          </w:rPr>
          <w:fldChar w:fldCharType="begin"/>
        </w:r>
        <w:r w:rsidR="006E3451">
          <w:rPr>
            <w:webHidden/>
          </w:rPr>
          <w:instrText xml:space="preserve"> PAGEREF _Toc60910993 \h </w:instrText>
        </w:r>
        <w:r w:rsidR="006E3451">
          <w:rPr>
            <w:webHidden/>
          </w:rPr>
        </w:r>
        <w:r w:rsidR="006E3451">
          <w:rPr>
            <w:webHidden/>
          </w:rPr>
          <w:fldChar w:fldCharType="separate"/>
        </w:r>
        <w:r w:rsidR="006E3451">
          <w:rPr>
            <w:webHidden/>
          </w:rPr>
          <w:t>4</w:t>
        </w:r>
        <w:r w:rsidR="006E3451">
          <w:rPr>
            <w:webHidden/>
          </w:rPr>
          <w:fldChar w:fldCharType="end"/>
        </w:r>
      </w:hyperlink>
    </w:p>
    <w:p w14:paraId="1B595D76" w14:textId="428FA14F" w:rsidR="006E3451" w:rsidRDefault="0080230F">
      <w:pPr>
        <w:pStyle w:val="TOC2"/>
        <w:rPr>
          <w:rFonts w:eastAsiaTheme="minorEastAsia"/>
        </w:rPr>
      </w:pPr>
      <w:hyperlink w:anchor="_Toc60910994" w:history="1">
        <w:r w:rsidR="006E3451" w:rsidRPr="00D50905">
          <w:rPr>
            <w:rStyle w:val="Hyperlink"/>
          </w:rPr>
          <w:t>Procedural Development</w:t>
        </w:r>
        <w:r w:rsidR="006E3451">
          <w:rPr>
            <w:webHidden/>
          </w:rPr>
          <w:tab/>
        </w:r>
        <w:r w:rsidR="006E3451">
          <w:rPr>
            <w:webHidden/>
          </w:rPr>
          <w:fldChar w:fldCharType="begin"/>
        </w:r>
        <w:r w:rsidR="006E3451">
          <w:rPr>
            <w:webHidden/>
          </w:rPr>
          <w:instrText xml:space="preserve"> PAGEREF _Toc60910994 \h </w:instrText>
        </w:r>
        <w:r w:rsidR="006E3451">
          <w:rPr>
            <w:webHidden/>
          </w:rPr>
        </w:r>
        <w:r w:rsidR="006E3451">
          <w:rPr>
            <w:webHidden/>
          </w:rPr>
          <w:fldChar w:fldCharType="separate"/>
        </w:r>
        <w:r w:rsidR="006E3451">
          <w:rPr>
            <w:webHidden/>
          </w:rPr>
          <w:t>6</w:t>
        </w:r>
        <w:r w:rsidR="006E3451">
          <w:rPr>
            <w:webHidden/>
          </w:rPr>
          <w:fldChar w:fldCharType="end"/>
        </w:r>
      </w:hyperlink>
    </w:p>
    <w:p w14:paraId="4E633E73" w14:textId="7F367388" w:rsidR="006E3451" w:rsidRDefault="0080230F">
      <w:pPr>
        <w:pStyle w:val="TOC1"/>
        <w:rPr>
          <w:rFonts w:eastAsiaTheme="minorEastAsia"/>
          <w:b w:val="0"/>
        </w:rPr>
      </w:pPr>
      <w:hyperlink w:anchor="_Toc60910995" w:history="1">
        <w:r w:rsidR="006E3451" w:rsidRPr="00D50905">
          <w:rPr>
            <w:rStyle w:val="Hyperlink"/>
          </w:rPr>
          <w:t>FAC-501-WECC-2—Approved versus Proposed</w:t>
        </w:r>
        <w:r w:rsidR="006E3451">
          <w:rPr>
            <w:webHidden/>
          </w:rPr>
          <w:tab/>
        </w:r>
        <w:r w:rsidR="006E3451">
          <w:rPr>
            <w:webHidden/>
          </w:rPr>
          <w:fldChar w:fldCharType="begin"/>
        </w:r>
        <w:r w:rsidR="006E3451">
          <w:rPr>
            <w:webHidden/>
          </w:rPr>
          <w:instrText xml:space="preserve"> PAGEREF _Toc60910995 \h </w:instrText>
        </w:r>
        <w:r w:rsidR="006E3451">
          <w:rPr>
            <w:webHidden/>
          </w:rPr>
        </w:r>
        <w:r w:rsidR="006E3451">
          <w:rPr>
            <w:webHidden/>
          </w:rPr>
          <w:fldChar w:fldCharType="separate"/>
        </w:r>
        <w:r w:rsidR="006E3451">
          <w:rPr>
            <w:webHidden/>
          </w:rPr>
          <w:t>7</w:t>
        </w:r>
        <w:r w:rsidR="006E3451">
          <w:rPr>
            <w:webHidden/>
          </w:rPr>
          <w:fldChar w:fldCharType="end"/>
        </w:r>
      </w:hyperlink>
    </w:p>
    <w:p w14:paraId="505F9FA9" w14:textId="71EF7FEB" w:rsidR="006E3451" w:rsidRDefault="0080230F">
      <w:pPr>
        <w:pStyle w:val="TOC2"/>
        <w:rPr>
          <w:rFonts w:eastAsiaTheme="minorEastAsia"/>
        </w:rPr>
      </w:pPr>
      <w:hyperlink w:anchor="_Toc60910996" w:history="1">
        <w:r w:rsidR="006E3451" w:rsidRPr="00D50905">
          <w:rPr>
            <w:rStyle w:val="Hyperlink"/>
          </w:rPr>
          <w:t>FAC-501-WECC-2—Approved</w:t>
        </w:r>
        <w:r w:rsidR="006E3451">
          <w:rPr>
            <w:webHidden/>
          </w:rPr>
          <w:tab/>
        </w:r>
        <w:r w:rsidR="006E3451">
          <w:rPr>
            <w:webHidden/>
          </w:rPr>
          <w:fldChar w:fldCharType="begin"/>
        </w:r>
        <w:r w:rsidR="006E3451">
          <w:rPr>
            <w:webHidden/>
          </w:rPr>
          <w:instrText xml:space="preserve"> PAGEREF _Toc60910996 \h </w:instrText>
        </w:r>
        <w:r w:rsidR="006E3451">
          <w:rPr>
            <w:webHidden/>
          </w:rPr>
        </w:r>
        <w:r w:rsidR="006E3451">
          <w:rPr>
            <w:webHidden/>
          </w:rPr>
          <w:fldChar w:fldCharType="separate"/>
        </w:r>
        <w:r w:rsidR="006E3451">
          <w:rPr>
            <w:webHidden/>
          </w:rPr>
          <w:t>7</w:t>
        </w:r>
        <w:r w:rsidR="006E3451">
          <w:rPr>
            <w:webHidden/>
          </w:rPr>
          <w:fldChar w:fldCharType="end"/>
        </w:r>
      </w:hyperlink>
    </w:p>
    <w:p w14:paraId="7F7D0715" w14:textId="295F9DCE" w:rsidR="006E3451" w:rsidRDefault="0080230F">
      <w:pPr>
        <w:pStyle w:val="TOC2"/>
        <w:rPr>
          <w:rFonts w:eastAsiaTheme="minorEastAsia"/>
        </w:rPr>
      </w:pPr>
      <w:hyperlink w:anchor="_Toc60910997" w:history="1">
        <w:r w:rsidR="006E3451" w:rsidRPr="00D50905">
          <w:rPr>
            <w:rStyle w:val="Hyperlink"/>
          </w:rPr>
          <w:t>FAC-501-WECC-3—Proposed</w:t>
        </w:r>
        <w:r w:rsidR="006E3451">
          <w:rPr>
            <w:webHidden/>
          </w:rPr>
          <w:tab/>
        </w:r>
        <w:r w:rsidR="006E3451">
          <w:rPr>
            <w:webHidden/>
          </w:rPr>
          <w:fldChar w:fldCharType="begin"/>
        </w:r>
        <w:r w:rsidR="006E3451">
          <w:rPr>
            <w:webHidden/>
          </w:rPr>
          <w:instrText xml:space="preserve"> PAGEREF _Toc60910997 \h </w:instrText>
        </w:r>
        <w:r w:rsidR="006E3451">
          <w:rPr>
            <w:webHidden/>
          </w:rPr>
        </w:r>
        <w:r w:rsidR="006E3451">
          <w:rPr>
            <w:webHidden/>
          </w:rPr>
          <w:fldChar w:fldCharType="separate"/>
        </w:r>
        <w:r w:rsidR="006E3451">
          <w:rPr>
            <w:webHidden/>
          </w:rPr>
          <w:t>7</w:t>
        </w:r>
        <w:r w:rsidR="006E3451">
          <w:rPr>
            <w:webHidden/>
          </w:rPr>
          <w:fldChar w:fldCharType="end"/>
        </w:r>
      </w:hyperlink>
    </w:p>
    <w:p w14:paraId="7A85B805" w14:textId="6BB6B1F1" w:rsidR="006E3451" w:rsidRDefault="0080230F">
      <w:pPr>
        <w:pStyle w:val="TOC3"/>
        <w:rPr>
          <w:rFonts w:eastAsiaTheme="minorEastAsia"/>
        </w:rPr>
      </w:pPr>
      <w:hyperlink w:anchor="_Toc60910998" w:history="1">
        <w:r w:rsidR="006E3451" w:rsidRPr="00D50905">
          <w:rPr>
            <w:rStyle w:val="Hyperlink"/>
          </w:rPr>
          <w:t>Why the Paths should be Removed</w:t>
        </w:r>
        <w:r w:rsidR="006E3451">
          <w:rPr>
            <w:webHidden/>
          </w:rPr>
          <w:tab/>
        </w:r>
        <w:r w:rsidR="006E3451">
          <w:rPr>
            <w:webHidden/>
          </w:rPr>
          <w:fldChar w:fldCharType="begin"/>
        </w:r>
        <w:r w:rsidR="006E3451">
          <w:rPr>
            <w:webHidden/>
          </w:rPr>
          <w:instrText xml:space="preserve"> PAGEREF _Toc60910998 \h </w:instrText>
        </w:r>
        <w:r w:rsidR="006E3451">
          <w:rPr>
            <w:webHidden/>
          </w:rPr>
        </w:r>
        <w:r w:rsidR="006E3451">
          <w:rPr>
            <w:webHidden/>
          </w:rPr>
          <w:fldChar w:fldCharType="separate"/>
        </w:r>
        <w:r w:rsidR="006E3451">
          <w:rPr>
            <w:webHidden/>
          </w:rPr>
          <w:t>8</w:t>
        </w:r>
        <w:r w:rsidR="006E3451">
          <w:rPr>
            <w:webHidden/>
          </w:rPr>
          <w:fldChar w:fldCharType="end"/>
        </w:r>
      </w:hyperlink>
    </w:p>
    <w:p w14:paraId="76F1A0B5" w14:textId="4EE60EAF" w:rsidR="006E3451" w:rsidRDefault="0080230F">
      <w:pPr>
        <w:pStyle w:val="TOC3"/>
        <w:rPr>
          <w:rFonts w:eastAsiaTheme="minorEastAsia"/>
        </w:rPr>
      </w:pPr>
      <w:hyperlink w:anchor="_Toc60910999" w:history="1">
        <w:r w:rsidR="006E3451" w:rsidRPr="00D50905">
          <w:rPr>
            <w:rStyle w:val="Hyperlink"/>
          </w:rPr>
          <w:t>Path 22</w:t>
        </w:r>
        <w:r w:rsidR="006E3451">
          <w:rPr>
            <w:webHidden/>
          </w:rPr>
          <w:tab/>
        </w:r>
        <w:r w:rsidR="006E3451">
          <w:rPr>
            <w:webHidden/>
          </w:rPr>
          <w:fldChar w:fldCharType="begin"/>
        </w:r>
        <w:r w:rsidR="006E3451">
          <w:rPr>
            <w:webHidden/>
          </w:rPr>
          <w:instrText xml:space="preserve"> PAGEREF _Toc60910999 \h </w:instrText>
        </w:r>
        <w:r w:rsidR="006E3451">
          <w:rPr>
            <w:webHidden/>
          </w:rPr>
        </w:r>
        <w:r w:rsidR="006E3451">
          <w:rPr>
            <w:webHidden/>
          </w:rPr>
          <w:fldChar w:fldCharType="separate"/>
        </w:r>
        <w:r w:rsidR="006E3451">
          <w:rPr>
            <w:webHidden/>
          </w:rPr>
          <w:t>8</w:t>
        </w:r>
        <w:r w:rsidR="006E3451">
          <w:rPr>
            <w:webHidden/>
          </w:rPr>
          <w:fldChar w:fldCharType="end"/>
        </w:r>
      </w:hyperlink>
    </w:p>
    <w:p w14:paraId="2EAF3A90" w14:textId="5238C163" w:rsidR="006E3451" w:rsidRDefault="0080230F">
      <w:pPr>
        <w:pStyle w:val="TOC3"/>
        <w:rPr>
          <w:rFonts w:eastAsiaTheme="minorEastAsia"/>
        </w:rPr>
      </w:pPr>
      <w:hyperlink w:anchor="_Toc60911000" w:history="1">
        <w:r w:rsidR="006E3451" w:rsidRPr="00D50905">
          <w:rPr>
            <w:rStyle w:val="Hyperlink"/>
          </w:rPr>
          <w:t>Path 50</w:t>
        </w:r>
        <w:r w:rsidR="006E3451">
          <w:rPr>
            <w:webHidden/>
          </w:rPr>
          <w:tab/>
        </w:r>
        <w:r w:rsidR="006E3451">
          <w:rPr>
            <w:webHidden/>
          </w:rPr>
          <w:fldChar w:fldCharType="begin"/>
        </w:r>
        <w:r w:rsidR="006E3451">
          <w:rPr>
            <w:webHidden/>
          </w:rPr>
          <w:instrText xml:space="preserve"> PAGEREF _Toc60911000 \h </w:instrText>
        </w:r>
        <w:r w:rsidR="006E3451">
          <w:rPr>
            <w:webHidden/>
          </w:rPr>
        </w:r>
        <w:r w:rsidR="006E3451">
          <w:rPr>
            <w:webHidden/>
          </w:rPr>
          <w:fldChar w:fldCharType="separate"/>
        </w:r>
        <w:r w:rsidR="006E3451">
          <w:rPr>
            <w:webHidden/>
          </w:rPr>
          <w:t>9</w:t>
        </w:r>
        <w:r w:rsidR="006E3451">
          <w:rPr>
            <w:webHidden/>
          </w:rPr>
          <w:fldChar w:fldCharType="end"/>
        </w:r>
      </w:hyperlink>
    </w:p>
    <w:p w14:paraId="13667511" w14:textId="0E7B2EE9" w:rsidR="006E3451" w:rsidRDefault="0080230F">
      <w:pPr>
        <w:pStyle w:val="TOC3"/>
        <w:rPr>
          <w:rFonts w:eastAsiaTheme="minorEastAsia"/>
        </w:rPr>
      </w:pPr>
      <w:hyperlink w:anchor="_Toc60911001" w:history="1">
        <w:r w:rsidR="006E3451" w:rsidRPr="00D50905">
          <w:rPr>
            <w:rStyle w:val="Hyperlink"/>
          </w:rPr>
          <w:t>Path 51</w:t>
        </w:r>
        <w:r w:rsidR="006E3451">
          <w:rPr>
            <w:webHidden/>
          </w:rPr>
          <w:tab/>
        </w:r>
        <w:r w:rsidR="006E3451">
          <w:rPr>
            <w:webHidden/>
          </w:rPr>
          <w:fldChar w:fldCharType="begin"/>
        </w:r>
        <w:r w:rsidR="006E3451">
          <w:rPr>
            <w:webHidden/>
          </w:rPr>
          <w:instrText xml:space="preserve"> PAGEREF _Toc60911001 \h </w:instrText>
        </w:r>
        <w:r w:rsidR="006E3451">
          <w:rPr>
            <w:webHidden/>
          </w:rPr>
        </w:r>
        <w:r w:rsidR="006E3451">
          <w:rPr>
            <w:webHidden/>
          </w:rPr>
          <w:fldChar w:fldCharType="separate"/>
        </w:r>
        <w:r w:rsidR="006E3451">
          <w:rPr>
            <w:webHidden/>
          </w:rPr>
          <w:t>9</w:t>
        </w:r>
        <w:r w:rsidR="006E3451">
          <w:rPr>
            <w:webHidden/>
          </w:rPr>
          <w:fldChar w:fldCharType="end"/>
        </w:r>
      </w:hyperlink>
    </w:p>
    <w:p w14:paraId="5CA5BCFB" w14:textId="6BE6FB1C" w:rsidR="006E3451" w:rsidRDefault="0080230F">
      <w:pPr>
        <w:pStyle w:val="TOC2"/>
        <w:rPr>
          <w:rFonts w:eastAsiaTheme="minorEastAsia"/>
        </w:rPr>
      </w:pPr>
      <w:hyperlink w:anchor="_Toc60911002" w:history="1">
        <w:r w:rsidR="006E3451" w:rsidRPr="00D50905">
          <w:rPr>
            <w:rStyle w:val="Hyperlink"/>
          </w:rPr>
          <w:t>Continuing Maintenance for Paths 22, 50, and 51</w:t>
        </w:r>
        <w:r w:rsidR="006E3451">
          <w:rPr>
            <w:webHidden/>
          </w:rPr>
          <w:tab/>
        </w:r>
        <w:r w:rsidR="006E3451">
          <w:rPr>
            <w:webHidden/>
          </w:rPr>
          <w:fldChar w:fldCharType="begin"/>
        </w:r>
        <w:r w:rsidR="006E3451">
          <w:rPr>
            <w:webHidden/>
          </w:rPr>
          <w:instrText xml:space="preserve"> PAGEREF _Toc60911002 \h </w:instrText>
        </w:r>
        <w:r w:rsidR="006E3451">
          <w:rPr>
            <w:webHidden/>
          </w:rPr>
        </w:r>
        <w:r w:rsidR="006E3451">
          <w:rPr>
            <w:webHidden/>
          </w:rPr>
          <w:fldChar w:fldCharType="separate"/>
        </w:r>
        <w:r w:rsidR="006E3451">
          <w:rPr>
            <w:webHidden/>
          </w:rPr>
          <w:t>10</w:t>
        </w:r>
        <w:r w:rsidR="006E3451">
          <w:rPr>
            <w:webHidden/>
          </w:rPr>
          <w:fldChar w:fldCharType="end"/>
        </w:r>
      </w:hyperlink>
    </w:p>
    <w:p w14:paraId="5D4FBEAD" w14:textId="1FE59C72" w:rsidR="006E3451" w:rsidRDefault="0080230F">
      <w:pPr>
        <w:pStyle w:val="TOC2"/>
        <w:rPr>
          <w:rFonts w:eastAsiaTheme="minorEastAsia"/>
        </w:rPr>
      </w:pPr>
      <w:hyperlink w:anchor="_Toc60911003" w:history="1">
        <w:r w:rsidR="006E3451" w:rsidRPr="00D50905">
          <w:rPr>
            <w:rStyle w:val="Hyperlink"/>
          </w:rPr>
          <w:t>Open and Transparent Process for Modifying Attachment B</w:t>
        </w:r>
        <w:r w:rsidR="006E3451">
          <w:rPr>
            <w:webHidden/>
          </w:rPr>
          <w:tab/>
        </w:r>
        <w:r w:rsidR="006E3451">
          <w:rPr>
            <w:webHidden/>
          </w:rPr>
          <w:fldChar w:fldCharType="begin"/>
        </w:r>
        <w:r w:rsidR="006E3451">
          <w:rPr>
            <w:webHidden/>
          </w:rPr>
          <w:instrText xml:space="preserve"> PAGEREF _Toc60911003 \h </w:instrText>
        </w:r>
        <w:r w:rsidR="006E3451">
          <w:rPr>
            <w:webHidden/>
          </w:rPr>
        </w:r>
        <w:r w:rsidR="006E3451">
          <w:rPr>
            <w:webHidden/>
          </w:rPr>
          <w:fldChar w:fldCharType="separate"/>
        </w:r>
        <w:r w:rsidR="006E3451">
          <w:rPr>
            <w:webHidden/>
          </w:rPr>
          <w:t>10</w:t>
        </w:r>
        <w:r w:rsidR="006E3451">
          <w:rPr>
            <w:webHidden/>
          </w:rPr>
          <w:fldChar w:fldCharType="end"/>
        </w:r>
      </w:hyperlink>
    </w:p>
    <w:p w14:paraId="5752D65A" w14:textId="588F315B" w:rsidR="006E3451" w:rsidRDefault="0080230F">
      <w:pPr>
        <w:pStyle w:val="TOC1"/>
        <w:rPr>
          <w:rFonts w:eastAsiaTheme="minorEastAsia"/>
          <w:b w:val="0"/>
        </w:rPr>
      </w:pPr>
      <w:hyperlink w:anchor="_Toc60911004" w:history="1">
        <w:r w:rsidR="006E3451" w:rsidRPr="00D50905">
          <w:rPr>
            <w:rStyle w:val="Hyperlink"/>
          </w:rPr>
          <w:t>Conclusion</w:t>
        </w:r>
        <w:r w:rsidR="006E3451">
          <w:rPr>
            <w:webHidden/>
          </w:rPr>
          <w:tab/>
        </w:r>
        <w:r w:rsidR="006E3451">
          <w:rPr>
            <w:webHidden/>
          </w:rPr>
          <w:fldChar w:fldCharType="begin"/>
        </w:r>
        <w:r w:rsidR="006E3451">
          <w:rPr>
            <w:webHidden/>
          </w:rPr>
          <w:instrText xml:space="preserve"> PAGEREF _Toc60911004 \h </w:instrText>
        </w:r>
        <w:r w:rsidR="006E3451">
          <w:rPr>
            <w:webHidden/>
          </w:rPr>
        </w:r>
        <w:r w:rsidR="006E3451">
          <w:rPr>
            <w:webHidden/>
          </w:rPr>
          <w:fldChar w:fldCharType="separate"/>
        </w:r>
        <w:r w:rsidR="006E3451">
          <w:rPr>
            <w:webHidden/>
          </w:rPr>
          <w:t>11</w:t>
        </w:r>
        <w:r w:rsidR="006E3451">
          <w:rPr>
            <w:webHidden/>
          </w:rPr>
          <w:fldChar w:fldCharType="end"/>
        </w:r>
      </w:hyperlink>
    </w:p>
    <w:p w14:paraId="31A9662A" w14:textId="675534C5" w:rsidR="00A04EA3" w:rsidRPr="00BF1B07" w:rsidRDefault="00270EA9" w:rsidP="001B57D3">
      <w:pPr>
        <w:pStyle w:val="Heading1"/>
      </w:pPr>
      <w:r w:rsidRPr="0037776A">
        <w:rPr>
          <w:rFonts w:ascii="Palatino Linotype" w:hAnsi="Palatino Linotype"/>
          <w:b w:val="0"/>
        </w:rPr>
        <w:fldChar w:fldCharType="end"/>
      </w:r>
      <w:r w:rsidR="004D404D" w:rsidRPr="0037776A">
        <w:rPr>
          <w:rFonts w:ascii="Palatino Linotype" w:hAnsi="Palatino Linotype"/>
          <w:sz w:val="22"/>
          <w:szCs w:val="22"/>
        </w:rPr>
        <w:br w:type="page"/>
      </w:r>
      <w:bookmarkStart w:id="0" w:name="_Toc60910991"/>
      <w:r w:rsidR="00A04EA3" w:rsidRPr="00BF1B07">
        <w:lastRenderedPageBreak/>
        <w:t>Structure and Overview</w:t>
      </w:r>
      <w:r w:rsidR="001B57D3">
        <w:t>—</w:t>
      </w:r>
      <w:r w:rsidR="00A04EA3" w:rsidRPr="00BF1B07">
        <w:t>Posting 2</w:t>
      </w:r>
      <w:bookmarkEnd w:id="0"/>
    </w:p>
    <w:p w14:paraId="4AC13139" w14:textId="77777777" w:rsidR="007D3340" w:rsidRDefault="00F27DAC" w:rsidP="00F27DAC">
      <w:pPr>
        <w:rPr>
          <w:rStyle w:val="Hyperlink"/>
          <w:rFonts w:ascii="Palatino Linotype" w:hAnsi="Palatino Linotype"/>
          <w:color w:val="auto"/>
          <w:u w:val="none"/>
        </w:rPr>
      </w:pPr>
      <w:r>
        <w:rPr>
          <w:rStyle w:val="Hyperlink"/>
          <w:rFonts w:ascii="Palatino Linotype" w:hAnsi="Palatino Linotype"/>
          <w:color w:val="auto"/>
          <w:u w:val="none"/>
        </w:rPr>
        <w:t xml:space="preserve">This posting is in two parts: 1) a redline version </w:t>
      </w:r>
      <w:r w:rsidR="00A04EA3">
        <w:rPr>
          <w:rStyle w:val="Hyperlink"/>
          <w:rFonts w:ascii="Palatino Linotype" w:hAnsi="Palatino Linotype"/>
          <w:color w:val="auto"/>
          <w:u w:val="none"/>
        </w:rPr>
        <w:t xml:space="preserve">of FAC-501-WECC-2 </w:t>
      </w:r>
      <w:r>
        <w:rPr>
          <w:rStyle w:val="Hyperlink"/>
          <w:rFonts w:ascii="Palatino Linotype" w:hAnsi="Palatino Linotype"/>
          <w:color w:val="auto"/>
          <w:u w:val="none"/>
        </w:rPr>
        <w:t xml:space="preserve">containing proposed </w:t>
      </w:r>
      <w:r w:rsidR="00A04EA3">
        <w:rPr>
          <w:rStyle w:val="Hyperlink"/>
          <w:rFonts w:ascii="Palatino Linotype" w:hAnsi="Palatino Linotype"/>
          <w:color w:val="auto"/>
          <w:u w:val="none"/>
        </w:rPr>
        <w:t xml:space="preserve">changes to the standard, and </w:t>
      </w:r>
      <w:r>
        <w:rPr>
          <w:rStyle w:val="Hyperlink"/>
          <w:rFonts w:ascii="Palatino Linotype" w:hAnsi="Palatino Linotype"/>
          <w:color w:val="auto"/>
          <w:u w:val="none"/>
        </w:rPr>
        <w:t xml:space="preserve">2) </w:t>
      </w:r>
      <w:r w:rsidR="00A04EA3">
        <w:rPr>
          <w:rStyle w:val="Hyperlink"/>
          <w:rFonts w:ascii="Palatino Linotype" w:hAnsi="Palatino Linotype"/>
          <w:color w:val="auto"/>
          <w:u w:val="none"/>
        </w:rPr>
        <w:t xml:space="preserve">this </w:t>
      </w:r>
      <w:r>
        <w:rPr>
          <w:rStyle w:val="Hyperlink"/>
          <w:rFonts w:ascii="Palatino Linotype" w:hAnsi="Palatino Linotype"/>
          <w:color w:val="auto"/>
          <w:u w:val="none"/>
        </w:rPr>
        <w:t xml:space="preserve">narrative </w:t>
      </w:r>
      <w:r w:rsidR="00A04EA3">
        <w:rPr>
          <w:rStyle w:val="Hyperlink"/>
          <w:rFonts w:ascii="Palatino Linotype" w:hAnsi="Palatino Linotype"/>
          <w:color w:val="auto"/>
          <w:u w:val="none"/>
        </w:rPr>
        <w:t xml:space="preserve">explaining the </w:t>
      </w:r>
      <w:r w:rsidR="00BE5C18">
        <w:rPr>
          <w:rStyle w:val="Hyperlink"/>
          <w:rFonts w:ascii="Palatino Linotype" w:hAnsi="Palatino Linotype"/>
          <w:color w:val="auto"/>
          <w:u w:val="none"/>
        </w:rPr>
        <w:t xml:space="preserve">developmental history of the standard and the </w:t>
      </w:r>
      <w:r w:rsidR="00881054">
        <w:rPr>
          <w:rStyle w:val="Hyperlink"/>
          <w:rFonts w:ascii="Palatino Linotype" w:hAnsi="Palatino Linotype"/>
          <w:color w:val="auto"/>
          <w:u w:val="none"/>
        </w:rPr>
        <w:t xml:space="preserve">open and transparent process used by APS in support of </w:t>
      </w:r>
      <w:r w:rsidR="007D3340">
        <w:rPr>
          <w:rStyle w:val="Hyperlink"/>
          <w:rFonts w:ascii="Palatino Linotype" w:hAnsi="Palatino Linotype"/>
          <w:color w:val="auto"/>
          <w:u w:val="none"/>
        </w:rPr>
        <w:t>removing Paths 2</w:t>
      </w:r>
      <w:r w:rsidR="00881054">
        <w:rPr>
          <w:rStyle w:val="Hyperlink"/>
          <w:rFonts w:ascii="Palatino Linotype" w:hAnsi="Palatino Linotype"/>
          <w:color w:val="auto"/>
          <w:u w:val="none"/>
        </w:rPr>
        <w:t>2</w:t>
      </w:r>
      <w:r w:rsidR="007D3340">
        <w:rPr>
          <w:rStyle w:val="Hyperlink"/>
          <w:rFonts w:ascii="Palatino Linotype" w:hAnsi="Palatino Linotype"/>
          <w:color w:val="auto"/>
          <w:u w:val="none"/>
        </w:rPr>
        <w:t xml:space="preserve">, 50, and 51 from Attachment B. </w:t>
      </w:r>
    </w:p>
    <w:p w14:paraId="708A3AFC" w14:textId="67AD095C" w:rsidR="00722084" w:rsidRDefault="00F27DAC" w:rsidP="00744DF8">
      <w:r>
        <w:t>In Posting 1, the majority of respondent</w:t>
      </w:r>
      <w:r w:rsidR="00722084">
        <w:t>s</w:t>
      </w:r>
      <w:r>
        <w:t xml:space="preserve"> concurred that the entire </w:t>
      </w:r>
      <w:r w:rsidR="00A04EA3">
        <w:t>s</w:t>
      </w:r>
      <w:r>
        <w:t>tandard could be retired</w:t>
      </w:r>
      <w:r w:rsidR="00722084">
        <w:t xml:space="preserve">, largely because it is administrative in nature and provides a level of reliability that is only as </w:t>
      </w:r>
      <w:r w:rsidR="00485855">
        <w:t xml:space="preserve">stringent/lenient </w:t>
      </w:r>
      <w:r w:rsidR="00722084">
        <w:t xml:space="preserve">as the administrative </w:t>
      </w:r>
      <w:r w:rsidR="00881054">
        <w:t>p</w:t>
      </w:r>
      <w:r w:rsidR="00722084">
        <w:t>lan it supports.</w:t>
      </w:r>
      <w:r w:rsidR="001B57D3">
        <w:t xml:space="preserve"> </w:t>
      </w:r>
      <w:r w:rsidR="00485855">
        <w:t xml:space="preserve">A </w:t>
      </w:r>
      <w:r>
        <w:t>minority opinion raised concerns that</w:t>
      </w:r>
      <w:r w:rsidR="00117BEE">
        <w:t>,</w:t>
      </w:r>
      <w:r>
        <w:t xml:space="preserve"> </w:t>
      </w:r>
      <w:r w:rsidR="00722084">
        <w:t xml:space="preserve">if the </w:t>
      </w:r>
      <w:r w:rsidR="00A04EA3">
        <w:t>s</w:t>
      </w:r>
      <w:r w:rsidR="00722084">
        <w:t>tandard w</w:t>
      </w:r>
      <w:r w:rsidR="00117BEE">
        <w:t>ere</w:t>
      </w:r>
      <w:r w:rsidR="00722084">
        <w:t xml:space="preserve"> retired, it would eliminate maintenance requirements contained in no other </w:t>
      </w:r>
      <w:r w:rsidR="00A04EA3">
        <w:t>s</w:t>
      </w:r>
      <w:r w:rsidR="00722084">
        <w:t>tandards</w:t>
      </w:r>
      <w:r w:rsidR="00A04EA3">
        <w:t xml:space="preserve">, </w:t>
      </w:r>
      <w:r w:rsidR="00485855">
        <w:t xml:space="preserve">even though the </w:t>
      </w:r>
      <w:r w:rsidR="007D3340">
        <w:t>stringency</w:t>
      </w:r>
      <w:r w:rsidR="00687633">
        <w:t xml:space="preserve"> </w:t>
      </w:r>
      <w:r w:rsidR="007D3340">
        <w:t xml:space="preserve">of the maintenance performed </w:t>
      </w:r>
      <w:r w:rsidR="00687633">
        <w:t xml:space="preserve">(or lack thereof) </w:t>
      </w:r>
      <w:r w:rsidR="007D3340">
        <w:t>is not specifically stated</w:t>
      </w:r>
      <w:r w:rsidR="00722084">
        <w:t xml:space="preserve">. </w:t>
      </w:r>
    </w:p>
    <w:p w14:paraId="0205C93E" w14:textId="5BCBB4FE" w:rsidR="00687633" w:rsidRDefault="00F27DAC" w:rsidP="00744DF8">
      <w:r>
        <w:t xml:space="preserve">In Posting 2, the drafting team </w:t>
      </w:r>
      <w:r w:rsidR="00881054">
        <w:t xml:space="preserve">acknowledges the minority view and </w:t>
      </w:r>
      <w:r>
        <w:t xml:space="preserve">proposes to retain the </w:t>
      </w:r>
      <w:r w:rsidR="00A04EA3">
        <w:t>s</w:t>
      </w:r>
      <w:r>
        <w:t xml:space="preserve">tandard </w:t>
      </w:r>
      <w:r w:rsidR="00687633">
        <w:t>with clarifying updates</w:t>
      </w:r>
      <w:r w:rsidR="00881054">
        <w:t>.</w:t>
      </w:r>
      <w:r w:rsidR="001B57D3">
        <w:t xml:space="preserve"> </w:t>
      </w:r>
      <w:r>
        <w:t xml:space="preserve">The drafting team further proposes the addition of a </w:t>
      </w:r>
      <w:r w:rsidR="00BE5C18">
        <w:t xml:space="preserve">more efficacious </w:t>
      </w:r>
      <w:r>
        <w:t xml:space="preserve">process whereby </w:t>
      </w:r>
      <w:r w:rsidR="00BE5C18">
        <w:t>Attachment B can be modified</w:t>
      </w:r>
      <w:r w:rsidR="00687633">
        <w:t xml:space="preserve"> (</w:t>
      </w:r>
      <w:r w:rsidR="00A04EA3">
        <w:t>proposed Attachment C)</w:t>
      </w:r>
      <w:r w:rsidR="00687633">
        <w:t xml:space="preserve"> </w:t>
      </w:r>
      <w:r w:rsidR="00881054">
        <w:t xml:space="preserve">while also establishing </w:t>
      </w:r>
      <w:r w:rsidR="00687633">
        <w:t>the parameters of the technical support required to make those changes.</w:t>
      </w:r>
    </w:p>
    <w:p w14:paraId="30EB4AF7" w14:textId="50BE4869" w:rsidR="00F47659" w:rsidRDefault="00F47659" w:rsidP="00F47659">
      <w:pPr>
        <w:pStyle w:val="Heading1"/>
      </w:pPr>
      <w:bookmarkStart w:id="1" w:name="_Toc60910992"/>
      <w:r>
        <w:t>Development</w:t>
      </w:r>
      <w:bookmarkEnd w:id="1"/>
    </w:p>
    <w:p w14:paraId="3305EE05" w14:textId="77777777" w:rsidR="00BE5C18" w:rsidRPr="00BF1B07" w:rsidRDefault="00BE5C18" w:rsidP="00F47659">
      <w:pPr>
        <w:pStyle w:val="Heading2"/>
      </w:pPr>
      <w:bookmarkStart w:id="2" w:name="_Toc60910993"/>
      <w:r w:rsidRPr="00BF1B07">
        <w:t>Historical Development</w:t>
      </w:r>
      <w:bookmarkEnd w:id="2"/>
    </w:p>
    <w:p w14:paraId="05890CE4" w14:textId="105BD3E7" w:rsidR="00BE5C18" w:rsidRPr="0037776A" w:rsidRDefault="00566132" w:rsidP="00BE5C18">
      <w:pPr>
        <w:rPr>
          <w:rFonts w:ascii="Palatino Linotype" w:hAnsi="Palatino Linotype"/>
        </w:rPr>
      </w:pPr>
      <w:r>
        <w:rPr>
          <w:rFonts w:ascii="Palatino Linotype" w:hAnsi="Palatino Linotype"/>
        </w:rPr>
        <w:t>Before</w:t>
      </w:r>
      <w:r w:rsidR="00BE5C18" w:rsidRPr="0037776A">
        <w:rPr>
          <w:rFonts w:ascii="Palatino Linotype" w:hAnsi="Palatino Linotype"/>
        </w:rPr>
        <w:t xml:space="preserve"> 1996, members of the Western Systems Coordinating Council (WSCC)</w:t>
      </w:r>
      <w:r w:rsidR="00BE5C18" w:rsidRPr="0037776A">
        <w:rPr>
          <w:rStyle w:val="FootnoteReference"/>
          <w:rFonts w:ascii="Palatino Linotype" w:hAnsi="Palatino Linotype"/>
        </w:rPr>
        <w:t xml:space="preserve"> </w:t>
      </w:r>
      <w:r w:rsidR="00BE5C18" w:rsidRPr="0037776A">
        <w:rPr>
          <w:rStyle w:val="FootnoteReference"/>
          <w:rFonts w:ascii="Palatino Linotype" w:hAnsi="Palatino Linotype"/>
        </w:rPr>
        <w:footnoteReference w:id="3"/>
      </w:r>
      <w:r w:rsidR="00BE5C18" w:rsidRPr="0037776A">
        <w:rPr>
          <w:rFonts w:ascii="Palatino Linotype" w:hAnsi="Palatino Linotype"/>
        </w:rPr>
        <w:t xml:space="preserve"> voluntarily operated the Western Interconnection per the WSCC Reliability Criteria, Minimum Operating Reliability Criteria (MORC).</w:t>
      </w:r>
      <w:r w:rsidR="00BE5C18" w:rsidRPr="0037776A">
        <w:rPr>
          <w:rStyle w:val="FootnoteReference"/>
          <w:rFonts w:ascii="Palatino Linotype" w:hAnsi="Palatino Linotype"/>
        </w:rPr>
        <w:t xml:space="preserve"> </w:t>
      </w:r>
      <w:r w:rsidR="00BE5C18" w:rsidRPr="0037776A">
        <w:rPr>
          <w:rStyle w:val="FootnoteReference"/>
          <w:rFonts w:ascii="Palatino Linotype" w:hAnsi="Palatino Linotype"/>
        </w:rPr>
        <w:footnoteReference w:id="4"/>
      </w:r>
      <w:r w:rsidR="001B57D3">
        <w:rPr>
          <w:rStyle w:val="FootnoteReference"/>
          <w:rFonts w:ascii="Palatino Linotype" w:hAnsi="Palatino Linotype"/>
        </w:rPr>
        <w:t xml:space="preserve"> </w:t>
      </w:r>
      <w:r w:rsidR="00BE5C18" w:rsidRPr="0037776A">
        <w:rPr>
          <w:rFonts w:ascii="Palatino Linotype" w:hAnsi="Palatino Linotype"/>
        </w:rPr>
        <w:t xml:space="preserve">Although the MORC contained provisions for coordinated transmission maintenance, the MORC did not specify maintenance for particular </w:t>
      </w:r>
      <w:r w:rsidR="00272BF9" w:rsidRPr="0037776A">
        <w:rPr>
          <w:rFonts w:ascii="Palatino Linotype" w:hAnsi="Palatino Linotype"/>
        </w:rPr>
        <w:t>paths,</w:t>
      </w:r>
      <w:r w:rsidR="00BE5C18" w:rsidRPr="0037776A">
        <w:rPr>
          <w:rFonts w:ascii="Palatino Linotype" w:hAnsi="Palatino Linotype"/>
        </w:rPr>
        <w:t xml:space="preserve"> nor did it specify the types of maintenance required. </w:t>
      </w:r>
    </w:p>
    <w:p w14:paraId="11F72EE4" w14:textId="5F7E452E" w:rsidR="00BE5C18" w:rsidRDefault="00BE5C18" w:rsidP="00BE5C18">
      <w:pPr>
        <w:rPr>
          <w:rFonts w:ascii="Palatino Linotype" w:hAnsi="Palatino Linotype"/>
        </w:rPr>
      </w:pPr>
      <w:r w:rsidRPr="0037776A">
        <w:rPr>
          <w:rFonts w:ascii="Palatino Linotype" w:hAnsi="Palatino Linotype"/>
        </w:rPr>
        <w:t xml:space="preserve">In July and August of 1996, the Western Interconnection experienced two widespread outages resulting from </w:t>
      </w:r>
      <w:r>
        <w:rPr>
          <w:rFonts w:ascii="Palatino Linotype" w:hAnsi="Palatino Linotype"/>
        </w:rPr>
        <w:t xml:space="preserve">inadequate </w:t>
      </w:r>
      <w:r w:rsidRPr="0037776A">
        <w:rPr>
          <w:rFonts w:ascii="Palatino Linotype" w:hAnsi="Palatino Linotype"/>
        </w:rPr>
        <w:t>vegetation management.</w:t>
      </w:r>
      <w:r w:rsidR="001B57D3">
        <w:rPr>
          <w:rFonts w:ascii="Palatino Linotype" w:hAnsi="Palatino Linotype"/>
        </w:rPr>
        <w:t xml:space="preserve"> </w:t>
      </w:r>
      <w:r w:rsidRPr="0037776A">
        <w:rPr>
          <w:rFonts w:ascii="Palatino Linotype" w:hAnsi="Palatino Linotype"/>
        </w:rPr>
        <w:t>In March 1997, noting that federal remedial legislation could take years to implement, the WSCC trustees created the WSCC R</w:t>
      </w:r>
      <w:r>
        <w:rPr>
          <w:rFonts w:ascii="Palatino Linotype" w:hAnsi="Palatino Linotype"/>
        </w:rPr>
        <w:t xml:space="preserve">eliability Management System </w:t>
      </w:r>
      <w:r w:rsidRPr="0037776A">
        <w:rPr>
          <w:rFonts w:ascii="Palatino Linotype" w:hAnsi="Palatino Linotype"/>
        </w:rPr>
        <w:t xml:space="preserve">Policy </w:t>
      </w:r>
      <w:r w:rsidRPr="0037776A">
        <w:rPr>
          <w:rFonts w:ascii="Palatino Linotype" w:hAnsi="Palatino Linotype"/>
        </w:rPr>
        <w:lastRenderedPageBreak/>
        <w:t>Group</w:t>
      </w:r>
      <w:r w:rsidRPr="0037776A">
        <w:rPr>
          <w:rStyle w:val="FootnoteReference"/>
          <w:rFonts w:ascii="Palatino Linotype" w:hAnsi="Palatino Linotype"/>
        </w:rPr>
        <w:footnoteReference w:id="5"/>
      </w:r>
      <w:r w:rsidRPr="0037776A">
        <w:rPr>
          <w:rFonts w:ascii="Palatino Linotype" w:hAnsi="Palatino Linotype"/>
        </w:rPr>
        <w:t xml:space="preserve"> </w:t>
      </w:r>
      <w:r>
        <w:rPr>
          <w:rFonts w:ascii="Palatino Linotype" w:hAnsi="Palatino Linotype"/>
        </w:rPr>
        <w:t xml:space="preserve">establishing </w:t>
      </w:r>
      <w:r w:rsidRPr="0037776A">
        <w:rPr>
          <w:rFonts w:ascii="Palatino Linotype" w:hAnsi="Palatino Linotype"/>
        </w:rPr>
        <w:t xml:space="preserve">a contract-based operational </w:t>
      </w:r>
      <w:r>
        <w:rPr>
          <w:rFonts w:ascii="Palatino Linotype" w:hAnsi="Palatino Linotype"/>
        </w:rPr>
        <w:t>agreement k</w:t>
      </w:r>
      <w:r w:rsidRPr="0037776A">
        <w:rPr>
          <w:rFonts w:ascii="Palatino Linotype" w:hAnsi="Palatino Linotype"/>
        </w:rPr>
        <w:t>nown as the Reliability Management System (RMS).</w:t>
      </w:r>
      <w:r w:rsidRPr="0037776A">
        <w:rPr>
          <w:rStyle w:val="FootnoteReference"/>
          <w:rFonts w:ascii="Palatino Linotype" w:hAnsi="Palatino Linotype"/>
        </w:rPr>
        <w:footnoteReference w:id="6"/>
      </w:r>
      <w:r>
        <w:rPr>
          <w:rFonts w:ascii="Palatino Linotype" w:hAnsi="Palatino Linotype"/>
        </w:rPr>
        <w:t xml:space="preserve"> </w:t>
      </w:r>
    </w:p>
    <w:p w14:paraId="2124D66B" w14:textId="076206F6" w:rsidR="00BE5C18" w:rsidRPr="0037776A" w:rsidRDefault="00BE5C18" w:rsidP="00BE5C18">
      <w:pPr>
        <w:rPr>
          <w:rFonts w:ascii="Palatino Linotype" w:hAnsi="Palatino Linotype"/>
        </w:rPr>
      </w:pPr>
      <w:r w:rsidRPr="0037776A">
        <w:rPr>
          <w:rFonts w:ascii="Palatino Linotype" w:hAnsi="Palatino Linotype"/>
        </w:rPr>
        <w:t>On April 14, 1999, FERC asserted jurisdiction over the RMS.</w:t>
      </w:r>
    </w:p>
    <w:p w14:paraId="1D4296D2" w14:textId="536C98E9" w:rsidR="00BE5C18" w:rsidRDefault="00BE5C18" w:rsidP="00BE5C18">
      <w:pPr>
        <w:rPr>
          <w:rFonts w:ascii="Palatino Linotype" w:hAnsi="Palatino Linotype"/>
        </w:rPr>
      </w:pPr>
      <w:r>
        <w:rPr>
          <w:rFonts w:ascii="Palatino Linotype" w:hAnsi="Palatino Linotype"/>
        </w:rPr>
        <w:t>By F</w:t>
      </w:r>
      <w:r w:rsidRPr="0037776A">
        <w:rPr>
          <w:rFonts w:ascii="Palatino Linotype" w:hAnsi="Palatino Linotype"/>
        </w:rPr>
        <w:t>ebruary 2000</w:t>
      </w:r>
      <w:r>
        <w:rPr>
          <w:rFonts w:ascii="Palatino Linotype" w:hAnsi="Palatino Linotype"/>
        </w:rPr>
        <w:t>, t</w:t>
      </w:r>
      <w:r w:rsidRPr="0037776A">
        <w:rPr>
          <w:rFonts w:ascii="Palatino Linotype" w:hAnsi="Palatino Linotype"/>
        </w:rPr>
        <w:t>he WSCC</w:t>
      </w:r>
      <w:r>
        <w:rPr>
          <w:rFonts w:ascii="Palatino Linotype" w:hAnsi="Palatino Linotype"/>
        </w:rPr>
        <w:t xml:space="preserve"> hastily translated </w:t>
      </w:r>
      <w:r w:rsidRPr="0037776A">
        <w:rPr>
          <w:rFonts w:ascii="Palatino Linotype" w:hAnsi="Palatino Linotype"/>
        </w:rPr>
        <w:t xml:space="preserve">the content of the RMS into </w:t>
      </w:r>
      <w:r>
        <w:rPr>
          <w:rFonts w:ascii="Palatino Linotype" w:hAnsi="Palatino Linotype"/>
        </w:rPr>
        <w:t xml:space="preserve">what would become Version Zero of today’s </w:t>
      </w:r>
      <w:r w:rsidRPr="0037776A">
        <w:rPr>
          <w:rFonts w:ascii="Palatino Linotype" w:hAnsi="Palatino Linotype"/>
        </w:rPr>
        <w:t>mandatory</w:t>
      </w:r>
      <w:r>
        <w:rPr>
          <w:rFonts w:ascii="Palatino Linotype" w:hAnsi="Palatino Linotype"/>
        </w:rPr>
        <w:t xml:space="preserve"> R</w:t>
      </w:r>
      <w:r w:rsidRPr="0037776A">
        <w:rPr>
          <w:rFonts w:ascii="Palatino Linotype" w:hAnsi="Palatino Linotype"/>
        </w:rPr>
        <w:t xml:space="preserve">eliability </w:t>
      </w:r>
      <w:r>
        <w:rPr>
          <w:rFonts w:ascii="Palatino Linotype" w:hAnsi="Palatino Linotype"/>
        </w:rPr>
        <w:t>S</w:t>
      </w:r>
      <w:r w:rsidRPr="0037776A">
        <w:rPr>
          <w:rFonts w:ascii="Palatino Linotype" w:hAnsi="Palatino Linotype"/>
        </w:rPr>
        <w:t>tandards</w:t>
      </w:r>
      <w:r>
        <w:rPr>
          <w:rFonts w:ascii="Palatino Linotype" w:hAnsi="Palatino Linotype"/>
        </w:rPr>
        <w:t>.</w:t>
      </w:r>
      <w:r>
        <w:rPr>
          <w:rStyle w:val="FootnoteReference"/>
          <w:rFonts w:ascii="Palatino Linotype" w:hAnsi="Palatino Linotype"/>
        </w:rPr>
        <w:footnoteReference w:id="7"/>
      </w:r>
      <w:r w:rsidR="001B57D3">
        <w:rPr>
          <w:rFonts w:ascii="Palatino Linotype" w:hAnsi="Palatino Linotype"/>
        </w:rPr>
        <w:t xml:space="preserve"> </w:t>
      </w:r>
      <w:r>
        <w:rPr>
          <w:rFonts w:ascii="Palatino Linotype" w:hAnsi="Palatino Linotype"/>
        </w:rPr>
        <w:t xml:space="preserve">In that process, the list of </w:t>
      </w:r>
      <w:r w:rsidRPr="0037776A">
        <w:rPr>
          <w:rFonts w:ascii="Palatino Linotype" w:hAnsi="Palatino Linotype"/>
        </w:rPr>
        <w:t xml:space="preserve">paths </w:t>
      </w:r>
      <w:r>
        <w:rPr>
          <w:rFonts w:ascii="Palatino Linotype" w:hAnsi="Palatino Linotype"/>
        </w:rPr>
        <w:t xml:space="preserve">contained in the 2000 </w:t>
      </w:r>
      <w:r w:rsidRPr="0037776A">
        <w:rPr>
          <w:rFonts w:ascii="Palatino Linotype" w:hAnsi="Palatino Linotype"/>
        </w:rPr>
        <w:t>RMS</w:t>
      </w:r>
      <w:r>
        <w:rPr>
          <w:rFonts w:ascii="Palatino Linotype" w:hAnsi="Palatino Linotype"/>
        </w:rPr>
        <w:t>, T</w:t>
      </w:r>
      <w:r w:rsidRPr="0037776A">
        <w:rPr>
          <w:rFonts w:ascii="Palatino Linotype" w:hAnsi="Palatino Linotype"/>
        </w:rPr>
        <w:t>able 4</w:t>
      </w:r>
      <w:r>
        <w:rPr>
          <w:rFonts w:ascii="Palatino Linotype" w:hAnsi="Palatino Linotype"/>
        </w:rPr>
        <w:t xml:space="preserve"> migrated from the 2000 RMS into the Version Zero Standards virtually unchanged and without technical support to explain why the paths were originally selected or subsequently retained.</w:t>
      </w:r>
      <w:r w:rsidRPr="00F25CAE">
        <w:rPr>
          <w:rStyle w:val="FootnoteReference"/>
          <w:rFonts w:ascii="Palatino Linotype" w:hAnsi="Palatino Linotype"/>
        </w:rPr>
        <w:t xml:space="preserve"> </w:t>
      </w:r>
      <w:r w:rsidRPr="0037776A">
        <w:rPr>
          <w:rStyle w:val="FootnoteReference"/>
          <w:rFonts w:ascii="Palatino Linotype" w:hAnsi="Palatino Linotype"/>
        </w:rPr>
        <w:footnoteReference w:id="8"/>
      </w:r>
      <w:r w:rsidRPr="0037776A">
        <w:rPr>
          <w:rFonts w:ascii="Palatino Linotype" w:hAnsi="Palatino Linotype"/>
        </w:rPr>
        <w:t xml:space="preserve"> </w:t>
      </w:r>
      <w:r w:rsidRPr="0037776A">
        <w:rPr>
          <w:rStyle w:val="FootnoteReference"/>
          <w:rFonts w:ascii="Palatino Linotype" w:hAnsi="Palatino Linotype"/>
        </w:rPr>
        <w:footnoteReference w:id="9"/>
      </w:r>
      <w:r w:rsidR="001B57D3">
        <w:rPr>
          <w:rFonts w:ascii="Palatino Linotype" w:hAnsi="Palatino Linotype"/>
        </w:rPr>
        <w:t xml:space="preserve"> </w:t>
      </w:r>
    </w:p>
    <w:p w14:paraId="6933B093" w14:textId="1CFE6487" w:rsidR="00BE5C18" w:rsidRPr="00D051E3" w:rsidRDefault="00BE5C18" w:rsidP="00BE5C18">
      <w:pPr>
        <w:rPr>
          <w:rFonts w:ascii="Palatino Linotype" w:hAnsi="Palatino Linotype"/>
        </w:rPr>
      </w:pPr>
      <w:r>
        <w:rPr>
          <w:rFonts w:ascii="Palatino Linotype" w:hAnsi="Palatino Linotype"/>
        </w:rPr>
        <w:lastRenderedPageBreak/>
        <w:t>Twenty years after the list was created, subject matter experts cannot identify why these paths were originally identified for inclusion nor why they need to be retained in the FAC.</w:t>
      </w:r>
      <w:r w:rsidR="001B57D3">
        <w:rPr>
          <w:rFonts w:ascii="Palatino Linotype" w:hAnsi="Palatino Linotype"/>
        </w:rPr>
        <w:t xml:space="preserve"> </w:t>
      </w:r>
      <w:r>
        <w:rPr>
          <w:rFonts w:ascii="Palatino Linotype" w:hAnsi="Palatino Linotype"/>
        </w:rPr>
        <w:t xml:space="preserve">The only documented explanation for original inclusion comes from the definition section of the 2000 RMS wherein </w:t>
      </w:r>
      <w:r w:rsidRPr="00D051E3">
        <w:rPr>
          <w:rFonts w:ascii="Palatino Linotype" w:hAnsi="Palatino Linotype"/>
        </w:rPr>
        <w:t>the</w:t>
      </w:r>
      <w:r>
        <w:rPr>
          <w:rFonts w:ascii="Palatino Linotype" w:hAnsi="Palatino Linotype"/>
        </w:rPr>
        <w:t xml:space="preserve"> 40 </w:t>
      </w:r>
      <w:r w:rsidRPr="00D051E3">
        <w:rPr>
          <w:rFonts w:ascii="Palatino Linotype" w:hAnsi="Palatino Linotype"/>
        </w:rPr>
        <w:t>paths were defined as those paths “monitored by the Security Coordinator.”</w:t>
      </w:r>
      <w:r w:rsidRPr="00D051E3">
        <w:rPr>
          <w:rFonts w:ascii="Palatino Linotype" w:hAnsi="Palatino Linotype"/>
          <w:vertAlign w:val="superscript"/>
        </w:rPr>
        <w:footnoteReference w:id="10"/>
      </w:r>
      <w:r w:rsidRPr="00D051E3">
        <w:rPr>
          <w:rFonts w:ascii="Palatino Linotype" w:hAnsi="Palatino Linotype"/>
        </w:rPr>
        <w:t xml:space="preserve"> </w:t>
      </w:r>
      <w:r w:rsidRPr="0037776A">
        <w:rPr>
          <w:rStyle w:val="FootnoteReference"/>
          <w:rFonts w:ascii="Palatino Linotype" w:hAnsi="Palatino Linotype"/>
        </w:rPr>
        <w:footnoteReference w:id="11"/>
      </w:r>
      <w:r w:rsidR="001B57D3">
        <w:rPr>
          <w:rFonts w:ascii="Palatino Linotype" w:hAnsi="Palatino Linotype"/>
        </w:rPr>
        <w:t xml:space="preserve"> </w:t>
      </w:r>
      <w:r>
        <w:rPr>
          <w:rFonts w:ascii="Palatino Linotype" w:hAnsi="Palatino Linotype"/>
        </w:rPr>
        <w:t>No other explanation was offered.</w:t>
      </w:r>
    </w:p>
    <w:p w14:paraId="1CEA5C90" w14:textId="440898A3" w:rsidR="00BE5C18" w:rsidRDefault="00BE5C18" w:rsidP="00BE5C18">
      <w:pPr>
        <w:rPr>
          <w:rFonts w:ascii="Palatino Linotype" w:hAnsi="Palatino Linotype"/>
        </w:rPr>
      </w:pPr>
      <w:r>
        <w:rPr>
          <w:rFonts w:ascii="Palatino Linotype" w:hAnsi="Palatino Linotype"/>
        </w:rPr>
        <w:t>As a result, the maintenance required for the 40 paths is higher than is required in any other NERC Standard.</w:t>
      </w:r>
      <w:r>
        <w:rPr>
          <w:rStyle w:val="FootnoteReference"/>
          <w:rFonts w:ascii="Palatino Linotype" w:hAnsi="Palatino Linotype"/>
        </w:rPr>
        <w:footnoteReference w:id="12"/>
      </w:r>
      <w:r w:rsidR="001B57D3">
        <w:rPr>
          <w:rFonts w:ascii="Palatino Linotype" w:hAnsi="Palatino Linotype"/>
        </w:rPr>
        <w:t xml:space="preserve"> </w:t>
      </w:r>
      <w:r>
        <w:rPr>
          <w:rFonts w:ascii="Palatino Linotype" w:hAnsi="Palatino Linotype"/>
        </w:rPr>
        <w:t>Paradoxically, 20 years after its creation</w:t>
      </w:r>
      <w:r w:rsidR="000C7E11">
        <w:rPr>
          <w:rFonts w:ascii="Palatino Linotype" w:hAnsi="Palatino Linotype"/>
        </w:rPr>
        <w:t>,</w:t>
      </w:r>
      <w:r>
        <w:rPr>
          <w:rFonts w:ascii="Palatino Linotype" w:hAnsi="Palatino Linotype"/>
        </w:rPr>
        <w:t xml:space="preserve"> a new generation of subject matter experts cannot explain the origins of the path’s </w:t>
      </w:r>
      <w:r w:rsidR="00272BF9">
        <w:rPr>
          <w:rFonts w:ascii="Palatino Linotype" w:hAnsi="Palatino Linotype"/>
        </w:rPr>
        <w:t>inclusion,</w:t>
      </w:r>
      <w:r>
        <w:rPr>
          <w:rFonts w:ascii="Palatino Linotype" w:hAnsi="Palatino Linotype"/>
        </w:rPr>
        <w:t xml:space="preserve"> nor can they identify any specific list of attributes common to the 40 paths that might explain why they should be retained.</w:t>
      </w:r>
      <w:r w:rsidR="001B57D3">
        <w:rPr>
          <w:rFonts w:ascii="Palatino Linotype" w:hAnsi="Palatino Linotype"/>
        </w:rPr>
        <w:t xml:space="preserve"> </w:t>
      </w:r>
      <w:r w:rsidR="00A34415">
        <w:rPr>
          <w:rFonts w:ascii="Palatino Linotype" w:hAnsi="Palatino Linotype"/>
        </w:rPr>
        <w:t>Restated, the 40 paths listed on Attachment B are subject to a higher standard of maintenance</w:t>
      </w:r>
      <w:r w:rsidR="000C7E11">
        <w:rPr>
          <w:rFonts w:ascii="Palatino Linotype" w:hAnsi="Palatino Linotype"/>
        </w:rPr>
        <w:t>—</w:t>
      </w:r>
      <w:r w:rsidR="000934CD">
        <w:rPr>
          <w:rFonts w:ascii="Palatino Linotype" w:hAnsi="Palatino Linotype"/>
        </w:rPr>
        <w:t>but no one knows why.</w:t>
      </w:r>
      <w:r w:rsidR="001B57D3">
        <w:rPr>
          <w:rFonts w:ascii="Palatino Linotype" w:hAnsi="Palatino Linotype"/>
        </w:rPr>
        <w:t xml:space="preserve"> </w:t>
      </w:r>
    </w:p>
    <w:p w14:paraId="6E55D8AD" w14:textId="77777777" w:rsidR="00BE5C18" w:rsidRPr="00BF1B07" w:rsidRDefault="00BE5C18" w:rsidP="00F47659">
      <w:pPr>
        <w:pStyle w:val="Heading2"/>
      </w:pPr>
      <w:bookmarkStart w:id="3" w:name="_Toc60910994"/>
      <w:r w:rsidRPr="00BF1B07">
        <w:t>Procedural Development</w:t>
      </w:r>
      <w:bookmarkEnd w:id="3"/>
    </w:p>
    <w:p w14:paraId="6E6662E0" w14:textId="5697CCA5" w:rsidR="00BE5C18" w:rsidRDefault="00BE5C18" w:rsidP="00BE5C18">
      <w:pPr>
        <w:rPr>
          <w:rFonts w:ascii="Palatino Linotype" w:hAnsi="Palatino Linotype"/>
        </w:rPr>
      </w:pPr>
      <w:r>
        <w:rPr>
          <w:rFonts w:ascii="Palatino Linotype" w:hAnsi="Palatino Linotype"/>
        </w:rPr>
        <w:t>FAC-501-WECC-1 and 2 serve as the permanent replacement for PRC-STD-005-1 (PRC), all of which have the same title, Transmission Maintenance.</w:t>
      </w:r>
      <w:r w:rsidR="001B57D3">
        <w:rPr>
          <w:rFonts w:ascii="Palatino Linotype" w:hAnsi="Palatino Linotype"/>
        </w:rPr>
        <w:t xml:space="preserve"> </w:t>
      </w:r>
      <w:r>
        <w:rPr>
          <w:rFonts w:ascii="Palatino Linotype" w:hAnsi="Palatino Linotype"/>
        </w:rPr>
        <w:t>All three versions require specified maintenance on specified paths.</w:t>
      </w:r>
      <w:r w:rsidR="001B57D3">
        <w:rPr>
          <w:rFonts w:ascii="Palatino Linotype" w:hAnsi="Palatino Linotype"/>
        </w:rPr>
        <w:t xml:space="preserve"> </w:t>
      </w:r>
      <w:r>
        <w:rPr>
          <w:rFonts w:ascii="Palatino Linotype" w:hAnsi="Palatino Linotype"/>
        </w:rPr>
        <w:t xml:space="preserve">The static list of paths was created circa 1997, codified in the WECC Reliability Management System (2000), then </w:t>
      </w:r>
      <w:r w:rsidR="00B41A2F">
        <w:rPr>
          <w:rFonts w:ascii="Palatino Linotype" w:hAnsi="Palatino Linotype"/>
        </w:rPr>
        <w:t>moved</w:t>
      </w:r>
      <w:r>
        <w:rPr>
          <w:rFonts w:ascii="Palatino Linotype" w:hAnsi="Palatino Linotype"/>
        </w:rPr>
        <w:t xml:space="preserve"> into the PRC (2007).</w:t>
      </w:r>
    </w:p>
    <w:p w14:paraId="68EC194B" w14:textId="660993CA" w:rsidR="00BE5C18" w:rsidRDefault="00BE5C18" w:rsidP="00BE5C18">
      <w:pPr>
        <w:rPr>
          <w:rFonts w:ascii="Palatino Linotype" w:hAnsi="Palatino Linotype"/>
        </w:rPr>
      </w:pPr>
      <w:r>
        <w:rPr>
          <w:rFonts w:ascii="Palatino Linotype" w:hAnsi="Palatino Linotype"/>
        </w:rPr>
        <w:t xml:space="preserve">In </w:t>
      </w:r>
      <w:r w:rsidRPr="00ED6768">
        <w:rPr>
          <w:rFonts w:ascii="Palatino Linotype" w:hAnsi="Palatino Linotype"/>
        </w:rPr>
        <w:t>FAC-501-WECC-1</w:t>
      </w:r>
      <w:r>
        <w:rPr>
          <w:rFonts w:ascii="Palatino Linotype" w:hAnsi="Palatino Linotype"/>
        </w:rPr>
        <w:t xml:space="preserve"> (2011), the list of paths to which the standard applied was removed and replaced with a hyperlink referring the reader to the WECC website where the list was maintained.</w:t>
      </w:r>
      <w:r w:rsidR="001B57D3">
        <w:rPr>
          <w:rFonts w:ascii="Palatino Linotype" w:hAnsi="Palatino Linotype"/>
        </w:rPr>
        <w:t xml:space="preserve"> </w:t>
      </w:r>
      <w:r>
        <w:rPr>
          <w:rFonts w:ascii="Palatino Linotype" w:hAnsi="Palatino Linotype"/>
        </w:rPr>
        <w:t>In FERC Order 751 approving FAC-501-</w:t>
      </w:r>
      <w:r w:rsidRPr="0026292C">
        <w:rPr>
          <w:rFonts w:ascii="Palatino Linotype" w:hAnsi="Palatino Linotype"/>
        </w:rPr>
        <w:t>WECC-1,</w:t>
      </w:r>
      <w:r>
        <w:rPr>
          <w:rFonts w:ascii="Palatino Linotype" w:hAnsi="Palatino Linotype"/>
        </w:rPr>
        <w:t xml:space="preserve"> FERC raised concerns that using the hyperlink “</w:t>
      </w:r>
      <w:r w:rsidRPr="00ED6768">
        <w:rPr>
          <w:rFonts w:ascii="Palatino Linotype" w:hAnsi="Palatino Linotype"/>
        </w:rPr>
        <w:t>could change</w:t>
      </w:r>
      <w:r>
        <w:rPr>
          <w:rFonts w:ascii="Palatino Linotype" w:hAnsi="Palatino Linotype"/>
        </w:rPr>
        <w:t xml:space="preserve"> [the applicability] </w:t>
      </w:r>
      <w:r w:rsidRPr="00ED6768">
        <w:rPr>
          <w:rFonts w:ascii="Palatino Linotype" w:hAnsi="Palatino Linotype"/>
        </w:rPr>
        <w:t>without review and approval by the ERO and the Commission</w:t>
      </w:r>
      <w:r>
        <w:rPr>
          <w:rFonts w:ascii="Palatino Linotype" w:hAnsi="Palatino Linotype"/>
        </w:rPr>
        <w:t>.”</w:t>
      </w:r>
      <w:r w:rsidRPr="00ED6768">
        <w:rPr>
          <w:rStyle w:val="FootnoteReference"/>
          <w:rFonts w:ascii="Palatino Linotype" w:hAnsi="Palatino Linotype"/>
        </w:rPr>
        <w:footnoteReference w:id="13"/>
      </w:r>
      <w:r>
        <w:rPr>
          <w:rFonts w:ascii="Palatino Linotype" w:hAnsi="Palatino Linotype"/>
        </w:rPr>
        <w:t xml:space="preserve"> Although FERC </w:t>
      </w:r>
      <w:r>
        <w:rPr>
          <w:rFonts w:ascii="Palatino Linotype" w:hAnsi="Palatino Linotype"/>
        </w:rPr>
        <w:lastRenderedPageBreak/>
        <w:t>offered multiple options to address its concerns, one option was to provide the Commission with the criteria whereby the list was modified.</w:t>
      </w:r>
      <w:r w:rsidRPr="00BF06B0">
        <w:rPr>
          <w:rFonts w:ascii="Palatino Linotype" w:hAnsi="Palatino Linotype"/>
          <w:vertAlign w:val="superscript"/>
        </w:rPr>
        <w:footnoteReference w:id="14"/>
      </w:r>
      <w:r w:rsidR="001B57D3">
        <w:rPr>
          <w:rFonts w:ascii="Palatino Linotype" w:hAnsi="Palatino Linotype"/>
        </w:rPr>
        <w:t xml:space="preserve"> </w:t>
      </w:r>
    </w:p>
    <w:p w14:paraId="095BADE9" w14:textId="1C7A93D8" w:rsidR="00BE5C18" w:rsidRDefault="00BE5C18" w:rsidP="00BE5C18">
      <w:pPr>
        <w:rPr>
          <w:rFonts w:ascii="Palatino Linotype" w:hAnsi="Palatino Linotype"/>
        </w:rPr>
      </w:pPr>
      <w:r>
        <w:rPr>
          <w:rFonts w:ascii="Palatino Linotype" w:hAnsi="Palatino Linotype"/>
        </w:rPr>
        <w:t xml:space="preserve">In FAC-501-WECC-2 (2018), WECC removed the hyperlink and reverted to the static list that had remained unchanged for nearly 20 years. </w:t>
      </w:r>
    </w:p>
    <w:p w14:paraId="1D2B78B2" w14:textId="3BA6C590" w:rsidR="00D75B9B" w:rsidRDefault="00BE5C18" w:rsidP="00BE5C18">
      <w:pPr>
        <w:rPr>
          <w:rFonts w:ascii="Palatino Linotype" w:hAnsi="Palatino Linotype"/>
        </w:rPr>
      </w:pPr>
      <w:r>
        <w:rPr>
          <w:rFonts w:ascii="Palatino Linotype" w:hAnsi="Palatino Linotype"/>
        </w:rPr>
        <w:t xml:space="preserve">In FAC-501-WECC-3 (2021) as proposed, the WECC-0141 drafting team adopted FERC’s suggestion from FERC Order 751 by including Attachment </w:t>
      </w:r>
      <w:r w:rsidRPr="0026292C">
        <w:rPr>
          <w:rFonts w:ascii="Palatino Linotype" w:hAnsi="Palatino Linotype"/>
        </w:rPr>
        <w:t>C,</w:t>
      </w:r>
      <w:r>
        <w:rPr>
          <w:rFonts w:ascii="Palatino Linotype" w:hAnsi="Palatino Linotype"/>
        </w:rPr>
        <w:t xml:space="preserve"> </w:t>
      </w:r>
      <w:r w:rsidR="000336F8">
        <w:rPr>
          <w:rFonts w:ascii="Palatino Linotype" w:hAnsi="Palatino Linotype"/>
        </w:rPr>
        <w:t>Revision Process.</w:t>
      </w:r>
      <w:r w:rsidR="001B57D3">
        <w:rPr>
          <w:rFonts w:ascii="Palatino Linotype" w:hAnsi="Palatino Linotype"/>
        </w:rPr>
        <w:t xml:space="preserve"> </w:t>
      </w:r>
      <w:r>
        <w:rPr>
          <w:rFonts w:ascii="Palatino Linotype" w:hAnsi="Palatino Linotype"/>
        </w:rPr>
        <w:t xml:space="preserve">Attachment C creates </w:t>
      </w:r>
      <w:r w:rsidR="00D75B9B">
        <w:rPr>
          <w:rFonts w:ascii="Palatino Linotype" w:hAnsi="Palatino Linotype"/>
        </w:rPr>
        <w:t xml:space="preserve">a streamlined </w:t>
      </w:r>
      <w:r>
        <w:rPr>
          <w:rFonts w:ascii="Palatino Linotype" w:hAnsi="Palatino Linotype"/>
        </w:rPr>
        <w:t>process whereby Attachment B may be modified</w:t>
      </w:r>
      <w:r w:rsidR="000336F8">
        <w:rPr>
          <w:rFonts w:ascii="Palatino Linotype" w:hAnsi="Palatino Linotype"/>
        </w:rPr>
        <w:t xml:space="preserve"> and also establishes a known baseline for inclusion</w:t>
      </w:r>
      <w:r>
        <w:rPr>
          <w:rFonts w:ascii="Palatino Linotype" w:hAnsi="Palatino Linotype"/>
        </w:rPr>
        <w:t>.</w:t>
      </w:r>
    </w:p>
    <w:p w14:paraId="07F5E8AE" w14:textId="5B381EBE" w:rsidR="00F47659" w:rsidRDefault="00F47659" w:rsidP="00BF1B07">
      <w:pPr>
        <w:pStyle w:val="Heading1"/>
      </w:pPr>
      <w:bookmarkStart w:id="4" w:name="_Toc60910995"/>
      <w:r>
        <w:t>FAC-501-WECC-2—Approved versus Proposed</w:t>
      </w:r>
      <w:bookmarkEnd w:id="4"/>
    </w:p>
    <w:p w14:paraId="27C20F38" w14:textId="58C8C859" w:rsidR="00F27DAC" w:rsidRPr="00BF1B07" w:rsidRDefault="00F27DAC" w:rsidP="00BF1B07">
      <w:pPr>
        <w:pStyle w:val="Heading2"/>
      </w:pPr>
      <w:bookmarkStart w:id="5" w:name="_Toc60910996"/>
      <w:r w:rsidRPr="00BF1B07">
        <w:t>FAC-501-WECC-2</w:t>
      </w:r>
      <w:r w:rsidR="00F47659">
        <w:t>—</w:t>
      </w:r>
      <w:r w:rsidRPr="00BF1B07">
        <w:t>Approved</w:t>
      </w:r>
      <w:bookmarkEnd w:id="5"/>
    </w:p>
    <w:p w14:paraId="5ACEA6EB" w14:textId="0215FD86" w:rsidR="00493BCF" w:rsidRDefault="005C4E64" w:rsidP="00744DF8">
      <w:pPr>
        <w:rPr>
          <w:rStyle w:val="Hyperlink"/>
          <w:rFonts w:ascii="Palatino Linotype" w:hAnsi="Palatino Linotype"/>
          <w:color w:val="auto"/>
          <w:u w:val="none"/>
        </w:rPr>
      </w:pPr>
      <w:r>
        <w:rPr>
          <w:rStyle w:val="Hyperlink"/>
          <w:rFonts w:ascii="Palatino Linotype" w:hAnsi="Palatino Linotype"/>
          <w:color w:val="auto"/>
          <w:u w:val="none"/>
        </w:rPr>
        <w:t>As approved,</w:t>
      </w:r>
      <w:r w:rsidR="00493BCF">
        <w:rPr>
          <w:rStyle w:val="Hyperlink"/>
          <w:rFonts w:ascii="Palatino Linotype" w:hAnsi="Palatino Linotype"/>
          <w:color w:val="auto"/>
          <w:u w:val="none"/>
        </w:rPr>
        <w:t xml:space="preserve"> </w:t>
      </w:r>
      <w:r>
        <w:rPr>
          <w:rStyle w:val="Hyperlink"/>
          <w:rFonts w:ascii="Palatino Linotype" w:hAnsi="Palatino Linotype"/>
          <w:color w:val="auto"/>
          <w:u w:val="none"/>
        </w:rPr>
        <w:t xml:space="preserve">the FAC </w:t>
      </w:r>
      <w:r w:rsidR="00493BCF">
        <w:rPr>
          <w:rStyle w:val="Hyperlink"/>
          <w:rFonts w:ascii="Palatino Linotype" w:hAnsi="Palatino Linotype"/>
          <w:color w:val="auto"/>
          <w:u w:val="none"/>
        </w:rPr>
        <w:t xml:space="preserve">requires </w:t>
      </w:r>
      <w:r>
        <w:rPr>
          <w:rStyle w:val="Hyperlink"/>
          <w:rFonts w:ascii="Palatino Linotype" w:hAnsi="Palatino Linotype"/>
          <w:color w:val="auto"/>
          <w:u w:val="none"/>
        </w:rPr>
        <w:t>the applicable Transmission Owner: 1) have a Transmission Maintenance Inspection Plan (TMIP), 2) annually update that plan, and 3) adhere to that plan.</w:t>
      </w:r>
      <w:r w:rsidR="001B57D3">
        <w:rPr>
          <w:rStyle w:val="Hyperlink"/>
          <w:rFonts w:ascii="Palatino Linotype" w:hAnsi="Palatino Linotype"/>
          <w:color w:val="auto"/>
          <w:u w:val="none"/>
        </w:rPr>
        <w:t xml:space="preserve"> </w:t>
      </w:r>
    </w:p>
    <w:p w14:paraId="44E65B77" w14:textId="5565EAA3" w:rsidR="00BE5C18" w:rsidRDefault="00493BCF" w:rsidP="00744DF8">
      <w:pPr>
        <w:rPr>
          <w:rStyle w:val="Hyperlink"/>
          <w:rFonts w:ascii="Palatino Linotype" w:hAnsi="Palatino Linotype"/>
          <w:color w:val="auto"/>
          <w:u w:val="none"/>
        </w:rPr>
      </w:pPr>
      <w:r>
        <w:rPr>
          <w:rStyle w:val="Hyperlink"/>
          <w:rFonts w:ascii="Palatino Linotype" w:hAnsi="Palatino Linotype"/>
          <w:color w:val="auto"/>
          <w:u w:val="none"/>
        </w:rPr>
        <w:t>The</w:t>
      </w:r>
      <w:r w:rsidR="002E5E7D">
        <w:rPr>
          <w:rStyle w:val="Hyperlink"/>
          <w:rFonts w:ascii="Palatino Linotype" w:hAnsi="Palatino Linotype"/>
          <w:color w:val="auto"/>
          <w:u w:val="none"/>
        </w:rPr>
        <w:t xml:space="preserve"> </w:t>
      </w:r>
      <w:r>
        <w:rPr>
          <w:rStyle w:val="Hyperlink"/>
          <w:rFonts w:ascii="Palatino Linotype" w:hAnsi="Palatino Linotype"/>
          <w:color w:val="auto"/>
          <w:u w:val="none"/>
        </w:rPr>
        <w:t>FAC does not cover all paths in the Western Interconnection.</w:t>
      </w:r>
      <w:r w:rsidR="001B57D3">
        <w:rPr>
          <w:rStyle w:val="Hyperlink"/>
          <w:rFonts w:ascii="Palatino Linotype" w:hAnsi="Palatino Linotype"/>
          <w:color w:val="auto"/>
          <w:u w:val="none"/>
        </w:rPr>
        <w:t xml:space="preserve"> </w:t>
      </w:r>
      <w:r>
        <w:rPr>
          <w:rStyle w:val="Hyperlink"/>
          <w:rFonts w:ascii="Palatino Linotype" w:hAnsi="Palatino Linotype"/>
          <w:color w:val="auto"/>
          <w:u w:val="none"/>
        </w:rPr>
        <w:t>Rather, the FAC only applies to the 40 paths listed in Attachment B.</w:t>
      </w:r>
      <w:r w:rsidR="001B57D3">
        <w:rPr>
          <w:rStyle w:val="Hyperlink"/>
          <w:rFonts w:ascii="Palatino Linotype" w:hAnsi="Palatino Linotype"/>
          <w:color w:val="auto"/>
          <w:u w:val="none"/>
        </w:rPr>
        <w:t xml:space="preserve"> </w:t>
      </w:r>
      <w:r>
        <w:rPr>
          <w:rStyle w:val="Hyperlink"/>
          <w:rFonts w:ascii="Palatino Linotype" w:hAnsi="Palatino Linotype"/>
          <w:color w:val="auto"/>
          <w:u w:val="none"/>
        </w:rPr>
        <w:t>The list of 40 paths has not been substantively updated since its creation circa 199</w:t>
      </w:r>
      <w:r w:rsidR="00BE5C18">
        <w:rPr>
          <w:rStyle w:val="Hyperlink"/>
          <w:rFonts w:ascii="Palatino Linotype" w:hAnsi="Palatino Linotype"/>
          <w:color w:val="auto"/>
          <w:u w:val="none"/>
        </w:rPr>
        <w:t>7</w:t>
      </w:r>
      <w:r>
        <w:rPr>
          <w:rStyle w:val="Hyperlink"/>
          <w:rFonts w:ascii="Palatino Linotype" w:hAnsi="Palatino Linotype"/>
          <w:color w:val="auto"/>
          <w:u w:val="none"/>
        </w:rPr>
        <w:t>.</w:t>
      </w:r>
      <w:r w:rsidR="001B57D3">
        <w:rPr>
          <w:rStyle w:val="Hyperlink"/>
          <w:rFonts w:ascii="Palatino Linotype" w:hAnsi="Palatino Linotype"/>
          <w:color w:val="auto"/>
          <w:u w:val="none"/>
        </w:rPr>
        <w:t xml:space="preserve"> </w:t>
      </w:r>
      <w:r w:rsidR="002E5E7D">
        <w:rPr>
          <w:rStyle w:val="Hyperlink"/>
          <w:rFonts w:ascii="Palatino Linotype" w:hAnsi="Palatino Linotype"/>
          <w:color w:val="auto"/>
          <w:u w:val="none"/>
        </w:rPr>
        <w:t xml:space="preserve">After an extensive records review, no evidence was discovered to explain </w:t>
      </w:r>
      <w:r w:rsidR="002E5E7D" w:rsidRPr="00BE5C18">
        <w:rPr>
          <w:rStyle w:val="Hyperlink"/>
          <w:rFonts w:ascii="Palatino Linotype" w:hAnsi="Palatino Linotype"/>
          <w:i/>
          <w:color w:val="auto"/>
          <w:u w:val="none"/>
        </w:rPr>
        <w:t>why</w:t>
      </w:r>
      <w:r w:rsidR="002E5E7D">
        <w:rPr>
          <w:rStyle w:val="Hyperlink"/>
          <w:rFonts w:ascii="Palatino Linotype" w:hAnsi="Palatino Linotype"/>
          <w:color w:val="auto"/>
          <w:u w:val="none"/>
        </w:rPr>
        <w:t xml:space="preserve"> the 40 paths were selected nor does there appear to be any specific common operational attribute </w:t>
      </w:r>
      <w:r w:rsidR="00485855">
        <w:rPr>
          <w:rStyle w:val="Hyperlink"/>
          <w:rFonts w:ascii="Palatino Linotype" w:hAnsi="Palatino Linotype"/>
          <w:color w:val="auto"/>
          <w:u w:val="none"/>
        </w:rPr>
        <w:t>that would warrant the specified level of maintenance for those paths.</w:t>
      </w:r>
      <w:r w:rsidR="001B57D3">
        <w:rPr>
          <w:rStyle w:val="Hyperlink"/>
          <w:rFonts w:ascii="Palatino Linotype" w:hAnsi="Palatino Linotype"/>
          <w:color w:val="auto"/>
          <w:u w:val="none"/>
        </w:rPr>
        <w:t xml:space="preserve"> </w:t>
      </w:r>
      <w:r w:rsidR="00BE5C18">
        <w:rPr>
          <w:rStyle w:val="Hyperlink"/>
          <w:rFonts w:ascii="Palatino Linotype" w:hAnsi="Palatino Linotype"/>
          <w:color w:val="auto"/>
          <w:u w:val="none"/>
        </w:rPr>
        <w:t xml:space="preserve">As a result, the impacted Transmission Owner(s) are provided a level of maintenance mandated by Attachment B, but there is not supporting record substantiating </w:t>
      </w:r>
      <w:r w:rsidR="00BE5C18" w:rsidRPr="00BE5C18">
        <w:rPr>
          <w:rStyle w:val="Hyperlink"/>
          <w:rFonts w:ascii="Palatino Linotype" w:hAnsi="Palatino Linotype"/>
          <w:i/>
          <w:color w:val="auto"/>
          <w:u w:val="none"/>
        </w:rPr>
        <w:t>why</w:t>
      </w:r>
      <w:r w:rsidR="00BE5C18">
        <w:rPr>
          <w:rStyle w:val="Hyperlink"/>
          <w:rFonts w:ascii="Palatino Linotype" w:hAnsi="Palatino Linotype"/>
          <w:color w:val="auto"/>
          <w:u w:val="none"/>
        </w:rPr>
        <w:t xml:space="preserve"> that level of maintenance is required.</w:t>
      </w:r>
    </w:p>
    <w:p w14:paraId="544FB2C1" w14:textId="3D476902" w:rsidR="006C31F5" w:rsidRDefault="002E5E7D" w:rsidP="00744DF8">
      <w:pPr>
        <w:rPr>
          <w:rStyle w:val="Hyperlink"/>
          <w:rFonts w:ascii="Palatino Linotype" w:hAnsi="Palatino Linotype"/>
          <w:color w:val="auto"/>
          <w:u w:val="none"/>
        </w:rPr>
      </w:pPr>
      <w:r>
        <w:rPr>
          <w:rStyle w:val="Hyperlink"/>
          <w:rFonts w:ascii="Palatino Linotype" w:hAnsi="Palatino Linotype"/>
          <w:color w:val="auto"/>
          <w:u w:val="none"/>
        </w:rPr>
        <w:t>The</w:t>
      </w:r>
      <w:r w:rsidR="004212DA">
        <w:rPr>
          <w:rStyle w:val="Hyperlink"/>
          <w:rFonts w:ascii="Palatino Linotype" w:hAnsi="Palatino Linotype"/>
          <w:color w:val="auto"/>
          <w:u w:val="none"/>
        </w:rPr>
        <w:t xml:space="preserve"> facilit</w:t>
      </w:r>
      <w:r w:rsidR="000C55C6">
        <w:rPr>
          <w:rStyle w:val="Hyperlink"/>
          <w:rFonts w:ascii="Palatino Linotype" w:hAnsi="Palatino Linotype"/>
          <w:color w:val="auto"/>
          <w:u w:val="none"/>
        </w:rPr>
        <w:t xml:space="preserve">y </w:t>
      </w:r>
      <w:r w:rsidR="004212DA">
        <w:rPr>
          <w:rStyle w:val="Hyperlink"/>
          <w:rFonts w:ascii="Palatino Linotype" w:hAnsi="Palatino Linotype"/>
          <w:color w:val="auto"/>
          <w:u w:val="none"/>
        </w:rPr>
        <w:t xml:space="preserve">applicability is further limited </w:t>
      </w:r>
      <w:r w:rsidR="000C55C6">
        <w:rPr>
          <w:rStyle w:val="Hyperlink"/>
          <w:rFonts w:ascii="Palatino Linotype" w:hAnsi="Palatino Linotype"/>
          <w:color w:val="auto"/>
          <w:u w:val="none"/>
        </w:rPr>
        <w:t xml:space="preserve">by Attachment A </w:t>
      </w:r>
      <w:r w:rsidR="006C31F5">
        <w:rPr>
          <w:rStyle w:val="Hyperlink"/>
          <w:rFonts w:ascii="Palatino Linotype" w:hAnsi="Palatino Linotype"/>
          <w:color w:val="auto"/>
          <w:u w:val="none"/>
        </w:rPr>
        <w:t>that is purely administrative in its language.</w:t>
      </w:r>
      <w:r w:rsidR="001B57D3">
        <w:rPr>
          <w:rStyle w:val="Hyperlink"/>
          <w:rFonts w:ascii="Palatino Linotype" w:hAnsi="Palatino Linotype"/>
          <w:color w:val="auto"/>
          <w:u w:val="none"/>
        </w:rPr>
        <w:t xml:space="preserve"> </w:t>
      </w:r>
      <w:r w:rsidR="000C55C6">
        <w:rPr>
          <w:rStyle w:val="Hyperlink"/>
          <w:rFonts w:ascii="Palatino Linotype" w:hAnsi="Palatino Linotype"/>
          <w:color w:val="auto"/>
          <w:u w:val="none"/>
        </w:rPr>
        <w:t xml:space="preserve">Specifically, Attachment A requires a description of 1) impacted facilities, 2) methods used, 3) periodicity, </w:t>
      </w:r>
      <w:r w:rsidR="00485855">
        <w:rPr>
          <w:rStyle w:val="Hyperlink"/>
          <w:rFonts w:ascii="Palatino Linotype" w:hAnsi="Palatino Linotype"/>
          <w:color w:val="auto"/>
          <w:u w:val="none"/>
        </w:rPr>
        <w:t xml:space="preserve">and </w:t>
      </w:r>
      <w:r w:rsidR="000C55C6">
        <w:rPr>
          <w:rStyle w:val="Hyperlink"/>
          <w:rFonts w:ascii="Palatino Linotype" w:hAnsi="Palatino Linotype"/>
          <w:color w:val="auto"/>
          <w:u w:val="none"/>
        </w:rPr>
        <w:t>4) the maintenance program used</w:t>
      </w:r>
      <w:r w:rsidR="006C31F5">
        <w:rPr>
          <w:rStyle w:val="Hyperlink"/>
          <w:rFonts w:ascii="Palatino Linotype" w:hAnsi="Palatino Linotype"/>
          <w:color w:val="auto"/>
          <w:u w:val="none"/>
        </w:rPr>
        <w:t xml:space="preserve"> for the transmission lines and also </w:t>
      </w:r>
      <w:r w:rsidR="00485855">
        <w:rPr>
          <w:rStyle w:val="Hyperlink"/>
          <w:rFonts w:ascii="Palatino Linotype" w:hAnsi="Palatino Linotype"/>
          <w:color w:val="auto"/>
          <w:u w:val="none"/>
        </w:rPr>
        <w:t xml:space="preserve">specified </w:t>
      </w:r>
      <w:r w:rsidR="006C31F5">
        <w:rPr>
          <w:rStyle w:val="Hyperlink"/>
          <w:rFonts w:ascii="Palatino Linotype" w:hAnsi="Palatino Linotype"/>
          <w:color w:val="auto"/>
          <w:u w:val="none"/>
        </w:rPr>
        <w:t>station maintenance.</w:t>
      </w:r>
      <w:r w:rsidR="001B57D3">
        <w:rPr>
          <w:rStyle w:val="Hyperlink"/>
          <w:rFonts w:ascii="Palatino Linotype" w:hAnsi="Palatino Linotype"/>
          <w:color w:val="auto"/>
          <w:u w:val="none"/>
        </w:rPr>
        <w:t xml:space="preserve"> </w:t>
      </w:r>
    </w:p>
    <w:p w14:paraId="10897DBE" w14:textId="73693F3B" w:rsidR="00485855" w:rsidRDefault="00485855" w:rsidP="00744DF8">
      <w:pPr>
        <w:rPr>
          <w:rStyle w:val="Hyperlink"/>
          <w:rFonts w:ascii="Palatino Linotype" w:hAnsi="Palatino Linotype"/>
          <w:color w:val="auto"/>
          <w:u w:val="none"/>
        </w:rPr>
      </w:pPr>
      <w:r>
        <w:rPr>
          <w:rStyle w:val="Hyperlink"/>
          <w:rFonts w:ascii="Palatino Linotype" w:hAnsi="Palatino Linotype"/>
          <w:color w:val="auto"/>
          <w:u w:val="none"/>
        </w:rPr>
        <w:lastRenderedPageBreak/>
        <w:t xml:space="preserve">Whereas Requirement R1 and R2 are administrative in nature, </w:t>
      </w:r>
      <w:r w:rsidR="006C31F5">
        <w:rPr>
          <w:rStyle w:val="Hyperlink"/>
          <w:rFonts w:ascii="Palatino Linotype" w:hAnsi="Palatino Linotype"/>
          <w:color w:val="auto"/>
          <w:u w:val="none"/>
        </w:rPr>
        <w:t xml:space="preserve">Requirement R3 requires the Transmission Owner to “adhere” to </w:t>
      </w:r>
      <w:r>
        <w:rPr>
          <w:rStyle w:val="Hyperlink"/>
          <w:rFonts w:ascii="Palatino Linotype" w:hAnsi="Palatino Linotype"/>
          <w:color w:val="auto"/>
          <w:u w:val="none"/>
        </w:rPr>
        <w:t xml:space="preserve">the </w:t>
      </w:r>
      <w:r w:rsidR="006C31F5">
        <w:rPr>
          <w:rStyle w:val="Hyperlink"/>
          <w:rFonts w:ascii="Palatino Linotype" w:hAnsi="Palatino Linotype"/>
          <w:color w:val="auto"/>
          <w:u w:val="none"/>
        </w:rPr>
        <w:t>TMIP</w:t>
      </w:r>
      <w:r>
        <w:rPr>
          <w:rStyle w:val="Hyperlink"/>
          <w:rFonts w:ascii="Palatino Linotype" w:hAnsi="Palatino Linotype"/>
          <w:color w:val="auto"/>
          <w:u w:val="none"/>
        </w:rPr>
        <w:t xml:space="preserve"> defined by Attachments A and B</w:t>
      </w:r>
      <w:r w:rsidR="00BA63AF">
        <w:rPr>
          <w:rStyle w:val="Hyperlink"/>
          <w:rFonts w:ascii="Palatino Linotype" w:hAnsi="Palatino Linotype"/>
          <w:color w:val="auto"/>
          <w:u w:val="none"/>
        </w:rPr>
        <w:t xml:space="preserve"> as referenced in R1 and R2</w:t>
      </w:r>
      <w:r>
        <w:rPr>
          <w:rStyle w:val="Hyperlink"/>
          <w:rFonts w:ascii="Palatino Linotype" w:hAnsi="Palatino Linotype"/>
          <w:color w:val="auto"/>
          <w:u w:val="none"/>
        </w:rPr>
        <w:t>.</w:t>
      </w:r>
      <w:r w:rsidR="001B57D3">
        <w:rPr>
          <w:rStyle w:val="Hyperlink"/>
          <w:rFonts w:ascii="Palatino Linotype" w:hAnsi="Palatino Linotype"/>
          <w:color w:val="auto"/>
          <w:u w:val="none"/>
        </w:rPr>
        <w:t xml:space="preserve"> </w:t>
      </w:r>
      <w:r w:rsidR="00C93C9B">
        <w:rPr>
          <w:rStyle w:val="Hyperlink"/>
          <w:rFonts w:ascii="Palatino Linotype" w:hAnsi="Palatino Linotype"/>
          <w:color w:val="auto"/>
          <w:u w:val="none"/>
        </w:rPr>
        <w:t xml:space="preserve">Any reliability value added by the </w:t>
      </w:r>
      <w:r w:rsidR="00F34CE2">
        <w:rPr>
          <w:rStyle w:val="Hyperlink"/>
          <w:rFonts w:ascii="Palatino Linotype" w:hAnsi="Palatino Linotype"/>
          <w:color w:val="auto"/>
          <w:u w:val="none"/>
        </w:rPr>
        <w:t>s</w:t>
      </w:r>
      <w:r w:rsidR="00C93C9B">
        <w:rPr>
          <w:rStyle w:val="Hyperlink"/>
          <w:rFonts w:ascii="Palatino Linotype" w:hAnsi="Palatino Linotype"/>
          <w:color w:val="auto"/>
          <w:u w:val="none"/>
        </w:rPr>
        <w:t xml:space="preserve">tandard is only as good as the stringency/leniency of the </w:t>
      </w:r>
      <w:bookmarkStart w:id="6" w:name="_Hlk60910390"/>
      <w:r w:rsidR="00C93C9B">
        <w:rPr>
          <w:rStyle w:val="Hyperlink"/>
          <w:rFonts w:ascii="Palatino Linotype" w:hAnsi="Palatino Linotype"/>
          <w:color w:val="auto"/>
          <w:u w:val="none"/>
        </w:rPr>
        <w:t>TMIP</w:t>
      </w:r>
      <w:bookmarkEnd w:id="6"/>
      <w:r w:rsidR="00C93C9B">
        <w:rPr>
          <w:rStyle w:val="Hyperlink"/>
          <w:rFonts w:ascii="Palatino Linotype" w:hAnsi="Palatino Linotype"/>
          <w:color w:val="auto"/>
          <w:u w:val="none"/>
        </w:rPr>
        <w:t xml:space="preserve"> it supports.</w:t>
      </w:r>
      <w:r>
        <w:rPr>
          <w:rStyle w:val="Hyperlink"/>
          <w:rFonts w:ascii="Palatino Linotype" w:hAnsi="Palatino Linotype"/>
          <w:color w:val="auto"/>
          <w:u w:val="none"/>
        </w:rPr>
        <w:t xml:space="preserve"> </w:t>
      </w:r>
    </w:p>
    <w:p w14:paraId="05A99D85" w14:textId="27AB9FAA" w:rsidR="00C96F1A" w:rsidRPr="00BF1B07" w:rsidRDefault="00C96F1A" w:rsidP="00BF1B07">
      <w:pPr>
        <w:pStyle w:val="Heading2"/>
      </w:pPr>
      <w:bookmarkStart w:id="7" w:name="_Toc60910997"/>
      <w:r w:rsidRPr="00BF1B07">
        <w:t>FAC-501-WECC-3</w:t>
      </w:r>
      <w:r w:rsidR="00F47659">
        <w:t>—Proposed</w:t>
      </w:r>
      <w:bookmarkEnd w:id="7"/>
    </w:p>
    <w:p w14:paraId="570CB355" w14:textId="6016A28E" w:rsidR="000336F8" w:rsidRPr="000336F8" w:rsidRDefault="00C96F1A" w:rsidP="000336F8">
      <w:pPr>
        <w:rPr>
          <w:rFonts w:ascii="Palatino Linotype" w:hAnsi="Palatino Linotype"/>
        </w:rPr>
      </w:pPr>
      <w:r>
        <w:rPr>
          <w:rFonts w:ascii="Palatino Linotype" w:hAnsi="Palatino Linotype"/>
        </w:rPr>
        <w:t xml:space="preserve">As proposed, FAC-501-WECC-3 </w:t>
      </w:r>
      <w:r w:rsidR="00C93C9B">
        <w:rPr>
          <w:rFonts w:ascii="Palatino Linotype" w:hAnsi="Palatino Linotype"/>
        </w:rPr>
        <w:t>create</w:t>
      </w:r>
      <w:r w:rsidR="00D75B9B">
        <w:rPr>
          <w:rFonts w:ascii="Palatino Linotype" w:hAnsi="Palatino Linotype"/>
        </w:rPr>
        <w:t>s a streamlined process whereby Attachment B can be modified</w:t>
      </w:r>
      <w:r w:rsidR="000336F8">
        <w:rPr>
          <w:rFonts w:ascii="Palatino Linotype" w:hAnsi="Palatino Linotype"/>
        </w:rPr>
        <w:t>.</w:t>
      </w:r>
      <w:r w:rsidR="001B57D3">
        <w:rPr>
          <w:rFonts w:ascii="Palatino Linotype" w:hAnsi="Palatino Linotype"/>
        </w:rPr>
        <w:t xml:space="preserve"> </w:t>
      </w:r>
      <w:r w:rsidR="000336F8">
        <w:rPr>
          <w:rFonts w:ascii="Palatino Linotype" w:hAnsi="Palatino Linotype"/>
        </w:rPr>
        <w:t>Further, w</w:t>
      </w:r>
      <w:r w:rsidR="000336F8" w:rsidRPr="000336F8">
        <w:rPr>
          <w:rFonts w:ascii="Palatino Linotype" w:hAnsi="Palatino Linotype"/>
        </w:rPr>
        <w:t xml:space="preserve">hereas the development record for Attachment B does not record </w:t>
      </w:r>
      <w:r w:rsidR="000336F8" w:rsidRPr="000336F8">
        <w:rPr>
          <w:rFonts w:ascii="Palatino Linotype" w:hAnsi="Palatino Linotype"/>
          <w:i/>
        </w:rPr>
        <w:t xml:space="preserve">why </w:t>
      </w:r>
      <w:r w:rsidR="000336F8" w:rsidRPr="000336F8">
        <w:rPr>
          <w:rFonts w:ascii="Palatino Linotype" w:hAnsi="Palatino Linotype"/>
        </w:rPr>
        <w:t>the paths were chosen</w:t>
      </w:r>
      <w:r w:rsidR="000336F8">
        <w:rPr>
          <w:rFonts w:ascii="Palatino Linotype" w:hAnsi="Palatino Linotype"/>
        </w:rPr>
        <w:t xml:space="preserve"> (circa 1997)</w:t>
      </w:r>
      <w:r w:rsidR="000336F8" w:rsidRPr="000336F8">
        <w:rPr>
          <w:rFonts w:ascii="Palatino Linotype" w:hAnsi="Palatino Linotype"/>
        </w:rPr>
        <w:t xml:space="preserve">, and whereas a review of the list conducted in 2020-2021 could not ascertain any common operational features, </w:t>
      </w:r>
      <w:r w:rsidR="000336F8">
        <w:rPr>
          <w:rFonts w:ascii="Palatino Linotype" w:hAnsi="Palatino Linotype"/>
        </w:rPr>
        <w:t xml:space="preserve">proposed Attachment C </w:t>
      </w:r>
      <w:r w:rsidR="000336F8" w:rsidRPr="000336F8">
        <w:rPr>
          <w:rFonts w:ascii="Palatino Linotype" w:hAnsi="Palatino Linotype"/>
        </w:rPr>
        <w:t xml:space="preserve">establishes the baseline of technical support for adding or subtracting paths and other assets from Attachment B. </w:t>
      </w:r>
    </w:p>
    <w:p w14:paraId="1D48B0AD" w14:textId="6AB9D546" w:rsidR="00D75B9B" w:rsidRDefault="00D75B9B" w:rsidP="00C96F1A">
      <w:pPr>
        <w:rPr>
          <w:rFonts w:ascii="Palatino Linotype" w:hAnsi="Palatino Linotype"/>
        </w:rPr>
      </w:pPr>
      <w:r>
        <w:rPr>
          <w:rFonts w:ascii="Palatino Linotype" w:hAnsi="Palatino Linotype"/>
        </w:rPr>
        <w:t xml:space="preserve">Before filing the WECC-0141 SAR, APS took a number of steps to have </w:t>
      </w:r>
      <w:r w:rsidR="000336F8">
        <w:rPr>
          <w:rFonts w:ascii="Palatino Linotype" w:hAnsi="Palatino Linotype"/>
        </w:rPr>
        <w:t>P</w:t>
      </w:r>
      <w:r>
        <w:rPr>
          <w:rFonts w:ascii="Palatino Linotype" w:hAnsi="Palatino Linotype"/>
        </w:rPr>
        <w:t>aths 22, 50, and 51 removed from the WECC Path Rating Catal</w:t>
      </w:r>
      <w:r w:rsidR="00C20D81">
        <w:rPr>
          <w:rFonts w:ascii="Palatino Linotype" w:hAnsi="Palatino Linotype"/>
        </w:rPr>
        <w:t>og.</w:t>
      </w:r>
      <w:r w:rsidR="00C46DE7">
        <w:rPr>
          <w:rStyle w:val="FootnoteReference"/>
          <w:rFonts w:ascii="Palatino Linotype" w:hAnsi="Palatino Linotype"/>
        </w:rPr>
        <w:footnoteReference w:id="15"/>
      </w:r>
      <w:r w:rsidR="001B57D3">
        <w:rPr>
          <w:rFonts w:ascii="Palatino Linotype" w:hAnsi="Palatino Linotype"/>
        </w:rPr>
        <w:t xml:space="preserve"> </w:t>
      </w:r>
      <w:r>
        <w:rPr>
          <w:rFonts w:ascii="Palatino Linotype" w:hAnsi="Palatino Linotype"/>
        </w:rPr>
        <w:t>Though not identical to the steps proposed in Attachment C, those steps provided the industry with the same adequacy of due process and technical review proposed in Attachment C.</w:t>
      </w:r>
      <w:r w:rsidR="001B57D3">
        <w:rPr>
          <w:rFonts w:ascii="Palatino Linotype" w:hAnsi="Palatino Linotype"/>
        </w:rPr>
        <w:t xml:space="preserve"> </w:t>
      </w:r>
      <w:r>
        <w:rPr>
          <w:rFonts w:ascii="Palatino Linotype" w:hAnsi="Palatino Linotype"/>
        </w:rPr>
        <w:t xml:space="preserve">As such, if approved this project would modify Attachment B by removing </w:t>
      </w:r>
      <w:r w:rsidR="000336F8">
        <w:rPr>
          <w:rFonts w:ascii="Palatino Linotype" w:hAnsi="Palatino Linotype"/>
        </w:rPr>
        <w:t>P</w:t>
      </w:r>
      <w:r>
        <w:rPr>
          <w:rFonts w:ascii="Palatino Linotype" w:hAnsi="Palatino Linotype"/>
        </w:rPr>
        <w:t xml:space="preserve">aths 22, 50, and 51 and also provide a more efficient means to modify Attachment B without applying the full rigors of the WECC Reliability Standards </w:t>
      </w:r>
      <w:r w:rsidR="000336F8">
        <w:rPr>
          <w:rFonts w:ascii="Palatino Linotype" w:hAnsi="Palatino Linotype"/>
        </w:rPr>
        <w:t>D</w:t>
      </w:r>
      <w:r>
        <w:rPr>
          <w:rFonts w:ascii="Palatino Linotype" w:hAnsi="Palatino Linotype"/>
        </w:rPr>
        <w:t>evelopment Procedures.</w:t>
      </w:r>
    </w:p>
    <w:p w14:paraId="3027E0AF" w14:textId="4AD981A6" w:rsidR="00C97338" w:rsidRPr="00C20D81" w:rsidRDefault="00C97338" w:rsidP="00BF1B07">
      <w:pPr>
        <w:pStyle w:val="Heading3"/>
      </w:pPr>
      <w:bookmarkStart w:id="8" w:name="_Toc60910998"/>
      <w:r w:rsidRPr="00C20D81">
        <w:t xml:space="preserve">Why the Paths </w:t>
      </w:r>
      <w:r w:rsidR="006E3451">
        <w:t>S</w:t>
      </w:r>
      <w:r w:rsidRPr="00C20D81">
        <w:t xml:space="preserve">hould be </w:t>
      </w:r>
      <w:r w:rsidR="00C20D81">
        <w:t>Removed</w:t>
      </w:r>
      <w:bookmarkEnd w:id="8"/>
    </w:p>
    <w:p w14:paraId="04E3537F" w14:textId="66967BED" w:rsidR="00C46DE7" w:rsidRDefault="00C20D81" w:rsidP="00C20D81">
      <w:pPr>
        <w:rPr>
          <w:rFonts w:ascii="Palatino Linotype" w:hAnsi="Palatino Linotype" w:cstheme="minorHAnsi"/>
        </w:rPr>
      </w:pPr>
      <w:r w:rsidRPr="00C20D81">
        <w:rPr>
          <w:rFonts w:ascii="Palatino Linotype" w:hAnsi="Palatino Linotype" w:cstheme="minorHAnsi"/>
        </w:rPr>
        <w:t xml:space="preserve">Due to changes </w:t>
      </w:r>
      <w:r>
        <w:rPr>
          <w:rFonts w:ascii="Palatino Linotype" w:hAnsi="Palatino Linotype" w:cstheme="minorHAnsi"/>
        </w:rPr>
        <w:t xml:space="preserve">occurring on </w:t>
      </w:r>
      <w:r w:rsidRPr="00C20D81">
        <w:rPr>
          <w:rFonts w:ascii="Palatino Linotype" w:hAnsi="Palatino Linotype" w:cstheme="minorHAnsi"/>
        </w:rPr>
        <w:t>the Bulk Electric System over the last two decades and changes in the way the system is planned and operated today, APS initiated a process</w:t>
      </w:r>
      <w:r w:rsidR="00345FC1">
        <w:rPr>
          <w:rFonts w:ascii="Palatino Linotype" w:hAnsi="Palatino Linotype" w:cstheme="minorHAnsi"/>
        </w:rPr>
        <w:t xml:space="preserve">, effective on January 1, 2020, </w:t>
      </w:r>
      <w:r w:rsidRPr="00C20D81">
        <w:rPr>
          <w:rFonts w:ascii="Palatino Linotype" w:hAnsi="Palatino Linotype" w:cstheme="minorHAnsi"/>
        </w:rPr>
        <w:t xml:space="preserve">to remove </w:t>
      </w:r>
      <w:r w:rsidR="000336F8">
        <w:rPr>
          <w:rFonts w:ascii="Palatino Linotype" w:hAnsi="Palatino Linotype" w:cstheme="minorHAnsi"/>
        </w:rPr>
        <w:t>P</w:t>
      </w:r>
      <w:r w:rsidRPr="00C20D81">
        <w:rPr>
          <w:rFonts w:ascii="Palatino Linotype" w:hAnsi="Palatino Linotype" w:cstheme="minorHAnsi"/>
        </w:rPr>
        <w:t xml:space="preserve">aths 22, 50, and 51 from the </w:t>
      </w:r>
      <w:r w:rsidR="001B57D3">
        <w:rPr>
          <w:rFonts w:ascii="Palatino Linotype" w:hAnsi="Palatino Linotype" w:cstheme="minorHAnsi"/>
        </w:rPr>
        <w:t>c</w:t>
      </w:r>
      <w:r w:rsidRPr="00C20D81">
        <w:rPr>
          <w:rFonts w:ascii="Palatino Linotype" w:hAnsi="Palatino Linotype" w:cstheme="minorHAnsi"/>
        </w:rPr>
        <w:t>atalog.</w:t>
      </w:r>
      <w:r w:rsidR="001B57D3">
        <w:rPr>
          <w:rFonts w:ascii="Palatino Linotype" w:hAnsi="Palatino Linotype" w:cstheme="minorHAnsi"/>
        </w:rPr>
        <w:t xml:space="preserve"> </w:t>
      </w:r>
    </w:p>
    <w:p w14:paraId="2006F246" w14:textId="4A8D5C93" w:rsidR="00C20D81" w:rsidRDefault="00C20D81" w:rsidP="00C20D81">
      <w:pPr>
        <w:rPr>
          <w:rFonts w:ascii="Palatino Linotype" w:hAnsi="Palatino Linotype" w:cstheme="minorHAnsi"/>
        </w:rPr>
      </w:pPr>
      <w:r w:rsidRPr="00C20D81">
        <w:rPr>
          <w:rFonts w:ascii="Palatino Linotype" w:hAnsi="Palatino Linotype" w:cstheme="minorHAnsi"/>
        </w:rPr>
        <w:t xml:space="preserve">Because there was no existing method for updating Attachment B </w:t>
      </w:r>
      <w:r>
        <w:rPr>
          <w:rFonts w:ascii="Palatino Linotype" w:hAnsi="Palatino Linotype" w:cstheme="minorHAnsi"/>
        </w:rPr>
        <w:t xml:space="preserve">of </w:t>
      </w:r>
      <w:r w:rsidRPr="00C20D81">
        <w:rPr>
          <w:rFonts w:ascii="Palatino Linotype" w:hAnsi="Palatino Linotype" w:cstheme="minorHAnsi"/>
        </w:rPr>
        <w:t xml:space="preserve">FAC-501-WECC-2, APS initiated a SAR requesting removal of </w:t>
      </w:r>
      <w:r w:rsidR="000336F8">
        <w:rPr>
          <w:rFonts w:ascii="Palatino Linotype" w:hAnsi="Palatino Linotype" w:cstheme="minorHAnsi"/>
        </w:rPr>
        <w:t>P</w:t>
      </w:r>
      <w:r w:rsidRPr="00C20D81">
        <w:rPr>
          <w:rFonts w:ascii="Palatino Linotype" w:hAnsi="Palatino Linotype" w:cstheme="minorHAnsi"/>
        </w:rPr>
        <w:t>aths 22, 50, and 51.</w:t>
      </w:r>
    </w:p>
    <w:p w14:paraId="458937AE" w14:textId="77777777" w:rsidR="00853659" w:rsidRDefault="00C20D81" w:rsidP="00C20D81">
      <w:pPr>
        <w:rPr>
          <w:rFonts w:ascii="Palatino Linotype" w:hAnsi="Palatino Linotype" w:cstheme="minorHAnsi"/>
        </w:rPr>
      </w:pPr>
      <w:r w:rsidRPr="00C20D81">
        <w:rPr>
          <w:rFonts w:ascii="Palatino Linotype" w:hAnsi="Palatino Linotype" w:cstheme="minorHAnsi"/>
        </w:rPr>
        <w:t xml:space="preserve">A description of the paths requested to be removed from Attachment B of FAC-501-WECC-2, a description of the circumstances </w:t>
      </w:r>
      <w:r w:rsidR="009E6393">
        <w:rPr>
          <w:rFonts w:ascii="Palatino Linotype" w:hAnsi="Palatino Linotype" w:cstheme="minorHAnsi"/>
        </w:rPr>
        <w:t xml:space="preserve">necessitating </w:t>
      </w:r>
      <w:r w:rsidRPr="00C20D81">
        <w:rPr>
          <w:rFonts w:ascii="Palatino Linotype" w:hAnsi="Palatino Linotype" w:cstheme="minorHAnsi"/>
        </w:rPr>
        <w:t>the requested change, and a summary of relevant studies are outlined below</w:t>
      </w:r>
      <w:r w:rsidR="00853659">
        <w:rPr>
          <w:rFonts w:ascii="Palatino Linotype" w:hAnsi="Palatino Linotype" w:cstheme="minorHAnsi"/>
        </w:rPr>
        <w:t xml:space="preserve">. </w:t>
      </w:r>
    </w:p>
    <w:p w14:paraId="3C29D64B" w14:textId="77777777" w:rsidR="004B0773" w:rsidRPr="004B0773" w:rsidRDefault="004B0773" w:rsidP="00BF1B07">
      <w:pPr>
        <w:pStyle w:val="Heading4"/>
      </w:pPr>
      <w:bookmarkStart w:id="9" w:name="_Toc60910999"/>
      <w:r w:rsidRPr="00D75B9B">
        <w:lastRenderedPageBreak/>
        <w:t>Path 22</w:t>
      </w:r>
      <w:bookmarkEnd w:id="9"/>
      <w:r w:rsidR="00253B86" w:rsidRPr="00D75B9B">
        <w:t xml:space="preserve"> </w:t>
      </w:r>
    </w:p>
    <w:p w14:paraId="2C0ECB0C" w14:textId="090E99F2" w:rsidR="004B0773" w:rsidRPr="00C611DE" w:rsidRDefault="004B0773" w:rsidP="004B0773">
      <w:pPr>
        <w:rPr>
          <w:rFonts w:ascii="Palatino Linotype" w:hAnsi="Palatino Linotype" w:cstheme="minorHAnsi"/>
        </w:rPr>
      </w:pPr>
      <w:r w:rsidRPr="00C611DE">
        <w:rPr>
          <w:rFonts w:ascii="Palatino Linotype" w:hAnsi="Palatino Linotype" w:cstheme="minorHAnsi"/>
        </w:rPr>
        <w:t xml:space="preserve">Path 22 facilities included the Four Corners </w:t>
      </w:r>
      <w:r w:rsidR="003C027E">
        <w:rPr>
          <w:rFonts w:ascii="Palatino Linotype" w:hAnsi="Palatino Linotype" w:cstheme="minorHAnsi"/>
        </w:rPr>
        <w:t>–</w:t>
      </w:r>
      <w:r w:rsidR="003C027E" w:rsidRPr="00C611DE">
        <w:rPr>
          <w:rFonts w:ascii="Palatino Linotype" w:hAnsi="Palatino Linotype" w:cstheme="minorHAnsi"/>
        </w:rPr>
        <w:t xml:space="preserve"> </w:t>
      </w:r>
      <w:r w:rsidRPr="00C611DE">
        <w:rPr>
          <w:rFonts w:ascii="Palatino Linotype" w:hAnsi="Palatino Linotype" w:cstheme="minorHAnsi"/>
        </w:rPr>
        <w:t>Moenkopi 500kV line and the 2 Four Corners to Cholla 345kV lines which were built to support the import of generation from the Four Corners Plant into Arizona and Southern California.</w:t>
      </w:r>
      <w:r w:rsidR="001B57D3">
        <w:rPr>
          <w:rFonts w:ascii="Palatino Linotype" w:hAnsi="Palatino Linotype" w:cstheme="minorHAnsi"/>
        </w:rPr>
        <w:t xml:space="preserve"> </w:t>
      </w:r>
      <w:r w:rsidRPr="00C611DE">
        <w:rPr>
          <w:rFonts w:ascii="Palatino Linotype" w:hAnsi="Palatino Linotype" w:cstheme="minorHAnsi"/>
        </w:rPr>
        <w:t xml:space="preserve">Additionally, Four Corners interconnects with the Shiprock and San Juan generation plants and the Rio Puerco, Pinto, and Ambrosia transmission lines, each of which </w:t>
      </w:r>
      <w:r w:rsidR="00117BEE">
        <w:rPr>
          <w:rFonts w:ascii="Palatino Linotype" w:hAnsi="Palatino Linotype" w:cstheme="minorHAnsi"/>
        </w:rPr>
        <w:t>is</w:t>
      </w:r>
      <w:r w:rsidR="00117BEE" w:rsidRPr="00C611DE">
        <w:rPr>
          <w:rFonts w:ascii="Palatino Linotype" w:hAnsi="Palatino Linotype" w:cstheme="minorHAnsi"/>
        </w:rPr>
        <w:t xml:space="preserve"> </w:t>
      </w:r>
      <w:r w:rsidRPr="00C611DE">
        <w:rPr>
          <w:rFonts w:ascii="Palatino Linotype" w:hAnsi="Palatino Linotype" w:cstheme="minorHAnsi"/>
        </w:rPr>
        <w:t xml:space="preserve">generally regarded as </w:t>
      </w:r>
      <w:r w:rsidR="00117BEE">
        <w:rPr>
          <w:rFonts w:ascii="Palatino Linotype" w:hAnsi="Palatino Linotype" w:cstheme="minorHAnsi"/>
        </w:rPr>
        <w:t xml:space="preserve">an </w:t>
      </w:r>
      <w:r w:rsidRPr="00C611DE">
        <w:rPr>
          <w:rFonts w:ascii="Palatino Linotype" w:hAnsi="Palatino Linotype" w:cstheme="minorHAnsi"/>
        </w:rPr>
        <w:t xml:space="preserve">import point to </w:t>
      </w:r>
      <w:r w:rsidRPr="004B0773">
        <w:rPr>
          <w:rFonts w:ascii="Palatino Linotype" w:hAnsi="Palatino Linotype" w:cstheme="minorHAnsi"/>
        </w:rPr>
        <w:t>adjacent utilities.</w:t>
      </w:r>
      <w:r w:rsidR="001B57D3">
        <w:rPr>
          <w:rFonts w:ascii="Palatino Linotype" w:hAnsi="Palatino Linotype" w:cstheme="minorHAnsi"/>
        </w:rPr>
        <w:t xml:space="preserve"> </w:t>
      </w:r>
      <w:r w:rsidRPr="004B0773">
        <w:rPr>
          <w:rFonts w:ascii="Palatino Linotype" w:hAnsi="Palatino Linotype" w:cstheme="minorHAnsi"/>
        </w:rPr>
        <w:t>In 2010, Four Corners units 1, 2, and 3 (500 MW) were retired.</w:t>
      </w:r>
      <w:r w:rsidR="001B57D3">
        <w:rPr>
          <w:rFonts w:ascii="Palatino Linotype" w:hAnsi="Palatino Linotype" w:cstheme="minorHAnsi"/>
        </w:rPr>
        <w:t xml:space="preserve"> </w:t>
      </w:r>
      <w:r w:rsidRPr="004B0773">
        <w:rPr>
          <w:rFonts w:ascii="Palatino Linotype" w:hAnsi="Palatino Linotype" w:cstheme="minorHAnsi"/>
        </w:rPr>
        <w:t>In 2014 APS acquired SCE’s rights to Four Corners units 4 and 5 (1</w:t>
      </w:r>
      <w:r w:rsidR="00117BEE">
        <w:rPr>
          <w:rFonts w:ascii="Palatino Linotype" w:hAnsi="Palatino Linotype" w:cstheme="minorHAnsi"/>
        </w:rPr>
        <w:t>,</w:t>
      </w:r>
      <w:r w:rsidRPr="004B0773">
        <w:rPr>
          <w:rFonts w:ascii="Palatino Linotype" w:hAnsi="Palatino Linotype" w:cstheme="minorHAnsi"/>
        </w:rPr>
        <w:t>540 MW) which are planned to retire in 2030/2031.</w:t>
      </w:r>
      <w:r w:rsidR="001B57D3">
        <w:rPr>
          <w:rFonts w:ascii="Palatino Linotype" w:hAnsi="Palatino Linotype" w:cstheme="minorHAnsi"/>
        </w:rPr>
        <w:t xml:space="preserve"> </w:t>
      </w:r>
      <w:r w:rsidRPr="004B0773">
        <w:rPr>
          <w:rFonts w:ascii="Palatino Linotype" w:hAnsi="Palatino Linotype" w:cstheme="minorHAnsi"/>
        </w:rPr>
        <w:t>In 2017 San Juan units 2 and 3 (836 MW) were retired and units 1 and 4 (847 MW) are planned to retire in 2023/2025.</w:t>
      </w:r>
    </w:p>
    <w:p w14:paraId="4E904FFE" w14:textId="77777777" w:rsidR="004B0773" w:rsidRPr="004B0773" w:rsidRDefault="004B0773" w:rsidP="00BF1B07">
      <w:pPr>
        <w:pStyle w:val="Heading4"/>
      </w:pPr>
      <w:bookmarkStart w:id="10" w:name="_Toc60911000"/>
      <w:r w:rsidRPr="004B0773">
        <w:t>Path 50</w:t>
      </w:r>
      <w:bookmarkEnd w:id="10"/>
    </w:p>
    <w:p w14:paraId="1159ABCD" w14:textId="7FE869AD" w:rsidR="004B0773" w:rsidRPr="00C611DE" w:rsidRDefault="004B0773" w:rsidP="004B0773">
      <w:pPr>
        <w:rPr>
          <w:rFonts w:ascii="Palatino Linotype" w:hAnsi="Palatino Linotype" w:cstheme="minorHAnsi"/>
        </w:rPr>
      </w:pPr>
      <w:r w:rsidRPr="00C611DE">
        <w:rPr>
          <w:rFonts w:ascii="Palatino Linotype" w:hAnsi="Palatino Linotype" w:cstheme="minorHAnsi"/>
        </w:rPr>
        <w:t>Path 50 facilities included the Cholla–Preacher Canyon and Cholla to Mazatzal 345kV lines</w:t>
      </w:r>
      <w:r w:rsidR="00117BEE">
        <w:rPr>
          <w:rFonts w:ascii="Palatino Linotype" w:hAnsi="Palatino Linotype" w:cstheme="minorHAnsi"/>
        </w:rPr>
        <w:t>,</w:t>
      </w:r>
      <w:r w:rsidRPr="00C611DE">
        <w:rPr>
          <w:rFonts w:ascii="Palatino Linotype" w:hAnsi="Palatino Linotype" w:cstheme="minorHAnsi"/>
        </w:rPr>
        <w:t xml:space="preserve"> which were primarily used for import</w:t>
      </w:r>
      <w:r w:rsidR="00117BEE">
        <w:rPr>
          <w:rFonts w:ascii="Palatino Linotype" w:hAnsi="Palatino Linotype" w:cstheme="minorHAnsi"/>
        </w:rPr>
        <w:t>ing</w:t>
      </w:r>
      <w:r w:rsidRPr="00C611DE">
        <w:rPr>
          <w:rFonts w:ascii="Palatino Linotype" w:hAnsi="Palatino Linotype" w:cstheme="minorHAnsi"/>
        </w:rPr>
        <w:t xml:space="preserve"> Four Corners and Cholla generation into the Phoenix area.</w:t>
      </w:r>
      <w:r w:rsidR="007F63D8">
        <w:rPr>
          <w:rStyle w:val="FootnoteReference"/>
          <w:rFonts w:ascii="Palatino Linotype" w:hAnsi="Palatino Linotype" w:cstheme="minorHAnsi"/>
        </w:rPr>
        <w:footnoteReference w:id="16"/>
      </w:r>
      <w:r w:rsidR="001B57D3">
        <w:rPr>
          <w:rFonts w:ascii="Palatino Linotype" w:hAnsi="Palatino Linotype" w:cstheme="minorHAnsi"/>
        </w:rPr>
        <w:t xml:space="preserve"> </w:t>
      </w:r>
      <w:r w:rsidRPr="00C611DE">
        <w:rPr>
          <w:rFonts w:ascii="Palatino Linotype" w:hAnsi="Palatino Linotype" w:cstheme="minorHAnsi"/>
        </w:rPr>
        <w:t>Additionally</w:t>
      </w:r>
      <w:r>
        <w:rPr>
          <w:rFonts w:ascii="Palatino Linotype" w:hAnsi="Palatino Linotype" w:cstheme="minorHAnsi"/>
        </w:rPr>
        <w:t>,</w:t>
      </w:r>
      <w:r w:rsidRPr="00C611DE">
        <w:rPr>
          <w:rFonts w:ascii="Palatino Linotype" w:hAnsi="Palatino Linotype" w:cstheme="minorHAnsi"/>
        </w:rPr>
        <w:t xml:space="preserve"> Cholla 500kV lines tie into the Coronado Generator (via Sugarloaf) and the Cholla 345kV line ties back into the Four Corners Plant 345kV </w:t>
      </w:r>
      <w:r w:rsidRPr="004B0773">
        <w:rPr>
          <w:rFonts w:ascii="Palatino Linotype" w:hAnsi="Palatino Linotype" w:cstheme="minorHAnsi"/>
        </w:rPr>
        <w:t>switchyard. In 2016</w:t>
      </w:r>
      <w:r w:rsidR="00117BEE">
        <w:rPr>
          <w:rFonts w:ascii="Palatino Linotype" w:hAnsi="Palatino Linotype" w:cstheme="minorHAnsi"/>
        </w:rPr>
        <w:t>,</w:t>
      </w:r>
      <w:r w:rsidRPr="004B0773">
        <w:rPr>
          <w:rFonts w:ascii="Palatino Linotype" w:hAnsi="Palatino Linotype" w:cstheme="minorHAnsi"/>
        </w:rPr>
        <w:t xml:space="preserve"> Cholla unit 2 was retired (MW)</w:t>
      </w:r>
      <w:r w:rsidRPr="00C611DE">
        <w:rPr>
          <w:rFonts w:ascii="Palatino Linotype" w:hAnsi="Palatino Linotype" w:cstheme="minorHAnsi"/>
        </w:rPr>
        <w:t xml:space="preserve"> </w:t>
      </w:r>
      <w:r w:rsidRPr="004B0773">
        <w:rPr>
          <w:rFonts w:ascii="Palatino Linotype" w:hAnsi="Palatino Linotype" w:cstheme="minorHAnsi"/>
        </w:rPr>
        <w:t>and in 2020 Cholla Unit 4 was retired (MW).</w:t>
      </w:r>
      <w:r w:rsidR="001B57D3">
        <w:rPr>
          <w:rFonts w:ascii="Palatino Linotype" w:hAnsi="Palatino Linotype" w:cstheme="minorHAnsi"/>
        </w:rPr>
        <w:t xml:space="preserve"> </w:t>
      </w:r>
      <w:r w:rsidRPr="004B0773">
        <w:rPr>
          <w:rFonts w:ascii="Palatino Linotype" w:hAnsi="Palatino Linotype" w:cstheme="minorHAnsi"/>
        </w:rPr>
        <w:t>SRP has announced that it plans to retire Coronado units 1 and 2 (MW) by 2032.</w:t>
      </w:r>
      <w:r w:rsidR="001B57D3">
        <w:rPr>
          <w:rFonts w:ascii="Palatino Linotype" w:hAnsi="Palatino Linotype" w:cstheme="minorHAnsi"/>
        </w:rPr>
        <w:t xml:space="preserve"> </w:t>
      </w:r>
    </w:p>
    <w:p w14:paraId="55BB6436" w14:textId="77777777" w:rsidR="004B0773" w:rsidRPr="004B0773" w:rsidRDefault="004B0773" w:rsidP="00BF1B07">
      <w:pPr>
        <w:pStyle w:val="Heading4"/>
      </w:pPr>
      <w:bookmarkStart w:id="11" w:name="_Toc60911001"/>
      <w:r w:rsidRPr="004B0773">
        <w:t>Path 51</w:t>
      </w:r>
      <w:bookmarkEnd w:id="11"/>
    </w:p>
    <w:p w14:paraId="11005CE9" w14:textId="61FA7B25" w:rsidR="004B0773" w:rsidRPr="00C611DE" w:rsidRDefault="004B0773" w:rsidP="004B0773">
      <w:pPr>
        <w:rPr>
          <w:rFonts w:ascii="Palatino Linotype" w:hAnsi="Palatino Linotype" w:cstheme="minorHAnsi"/>
        </w:rPr>
      </w:pPr>
      <w:r w:rsidRPr="00C611DE">
        <w:rPr>
          <w:rFonts w:ascii="Palatino Linotype" w:hAnsi="Palatino Linotype" w:cstheme="minorHAnsi"/>
        </w:rPr>
        <w:t>Path 51 facilities included the Navajo–Moenkopi and Navajo–Dugas 500kV lines</w:t>
      </w:r>
      <w:r w:rsidR="00117BEE">
        <w:rPr>
          <w:rFonts w:ascii="Palatino Linotype" w:hAnsi="Palatino Linotype" w:cstheme="minorHAnsi"/>
        </w:rPr>
        <w:t>,</w:t>
      </w:r>
      <w:r w:rsidRPr="00C611DE">
        <w:rPr>
          <w:rFonts w:ascii="Palatino Linotype" w:hAnsi="Palatino Linotype" w:cstheme="minorHAnsi"/>
        </w:rPr>
        <w:t xml:space="preserve"> which were </w:t>
      </w:r>
      <w:r w:rsidRPr="004B0773">
        <w:rPr>
          <w:rFonts w:ascii="Palatino Linotype" w:hAnsi="Palatino Linotype" w:cstheme="minorHAnsi"/>
        </w:rPr>
        <w:t xml:space="preserve">primarily used to bring Navajo generation into the Phoenix area via their interconnections to the </w:t>
      </w:r>
      <w:proofErr w:type="spellStart"/>
      <w:r w:rsidRPr="004B0773">
        <w:rPr>
          <w:rFonts w:ascii="Palatino Linotype" w:hAnsi="Palatino Linotype" w:cstheme="minorHAnsi"/>
        </w:rPr>
        <w:t>Westwing</w:t>
      </w:r>
      <w:proofErr w:type="spellEnd"/>
      <w:r w:rsidRPr="004B0773">
        <w:rPr>
          <w:rFonts w:ascii="Palatino Linotype" w:hAnsi="Palatino Linotype" w:cstheme="minorHAnsi"/>
        </w:rPr>
        <w:t xml:space="preserve"> 500kV </w:t>
      </w:r>
      <w:r w:rsidR="00117BEE">
        <w:rPr>
          <w:rFonts w:ascii="Palatino Linotype" w:hAnsi="Palatino Linotype" w:cstheme="minorHAnsi"/>
        </w:rPr>
        <w:t>s</w:t>
      </w:r>
      <w:r w:rsidRPr="004B0773">
        <w:rPr>
          <w:rFonts w:ascii="Palatino Linotype" w:hAnsi="Palatino Linotype" w:cstheme="minorHAnsi"/>
        </w:rPr>
        <w:t>witchyard and to areas west of the Navajo Plant via the Navajo–Crystal 500kv line to the west.</w:t>
      </w:r>
      <w:r w:rsidR="001B57D3">
        <w:rPr>
          <w:rFonts w:ascii="Palatino Linotype" w:hAnsi="Palatino Linotype" w:cstheme="minorHAnsi"/>
        </w:rPr>
        <w:t xml:space="preserve"> </w:t>
      </w:r>
      <w:r w:rsidRPr="004B0773">
        <w:rPr>
          <w:rFonts w:ascii="Palatino Linotype" w:hAnsi="Palatino Linotype" w:cstheme="minorHAnsi"/>
        </w:rPr>
        <w:t>In 2019</w:t>
      </w:r>
      <w:r w:rsidR="00117BEE">
        <w:rPr>
          <w:rFonts w:ascii="Palatino Linotype" w:hAnsi="Palatino Linotype" w:cstheme="minorHAnsi"/>
        </w:rPr>
        <w:t>,</w:t>
      </w:r>
      <w:r w:rsidRPr="004B0773">
        <w:rPr>
          <w:rFonts w:ascii="Palatino Linotype" w:hAnsi="Palatino Linotype" w:cstheme="minorHAnsi"/>
        </w:rPr>
        <w:t xml:space="preserve"> Navajo units 1, 2, and 3 were retired (2</w:t>
      </w:r>
      <w:r w:rsidR="00117BEE">
        <w:rPr>
          <w:rFonts w:ascii="Palatino Linotype" w:hAnsi="Palatino Linotype" w:cstheme="minorHAnsi"/>
        </w:rPr>
        <w:t>,</w:t>
      </w:r>
      <w:r w:rsidRPr="004B0773">
        <w:rPr>
          <w:rFonts w:ascii="Palatino Linotype" w:hAnsi="Palatino Linotype" w:cstheme="minorHAnsi"/>
        </w:rPr>
        <w:t>409 MW).</w:t>
      </w:r>
      <w:r w:rsidR="001B57D3">
        <w:rPr>
          <w:rFonts w:ascii="Palatino Linotype" w:hAnsi="Palatino Linotype" w:cstheme="minorHAnsi"/>
        </w:rPr>
        <w:t xml:space="preserve"> </w:t>
      </w:r>
    </w:p>
    <w:p w14:paraId="55F922B2" w14:textId="309EE2A5" w:rsidR="004B0773" w:rsidRPr="004B0773" w:rsidRDefault="004B0773" w:rsidP="004B0773">
      <w:pPr>
        <w:rPr>
          <w:rStyle w:val="null1"/>
          <w:rFonts w:ascii="Palatino Linotype" w:hAnsi="Palatino Linotype" w:cstheme="minorHAnsi"/>
        </w:rPr>
      </w:pPr>
      <w:r w:rsidRPr="00C611DE">
        <w:rPr>
          <w:rStyle w:val="null1"/>
          <w:rFonts w:ascii="Palatino Linotype" w:hAnsi="Palatino Linotype" w:cstheme="minorHAnsi"/>
        </w:rPr>
        <w:t>Because of these past and planned retirements</w:t>
      </w:r>
      <w:r w:rsidR="00117BEE">
        <w:rPr>
          <w:rStyle w:val="null1"/>
          <w:rFonts w:ascii="Palatino Linotype" w:hAnsi="Palatino Linotype" w:cstheme="minorHAnsi"/>
        </w:rPr>
        <w:t>,</w:t>
      </w:r>
      <w:r w:rsidRPr="00C611DE">
        <w:rPr>
          <w:rStyle w:val="null1"/>
          <w:rFonts w:ascii="Palatino Linotype" w:hAnsi="Palatino Linotype" w:cstheme="minorHAnsi"/>
        </w:rPr>
        <w:t xml:space="preserve"> there was a need to re-study and potentially de-rate WECC Paths due to an inability to achieve flows. Path rating studies are difficult if not impossible to stress to existing levels without these generators.</w:t>
      </w:r>
      <w:r w:rsidR="001B57D3">
        <w:rPr>
          <w:rStyle w:val="null1"/>
          <w:rFonts w:ascii="Palatino Linotype" w:hAnsi="Palatino Linotype" w:cstheme="minorHAnsi"/>
        </w:rPr>
        <w:t xml:space="preserve"> </w:t>
      </w:r>
      <w:r w:rsidRPr="00C611DE">
        <w:rPr>
          <w:rFonts w:ascii="Palatino Linotype" w:hAnsi="Palatino Linotype" w:cstheme="minorHAnsi"/>
        </w:rPr>
        <w:t xml:space="preserve">Further, Transmission Operators no longer operate to </w:t>
      </w:r>
      <w:r w:rsidRPr="00C611DE">
        <w:rPr>
          <w:rFonts w:ascii="Palatino Linotype" w:hAnsi="Palatino Linotype" w:cstheme="minorHAnsi"/>
        </w:rPr>
        <w:lastRenderedPageBreak/>
        <w:t>nomograms or path limitations except for certain conditions. Instead, t</w:t>
      </w:r>
      <w:r w:rsidRPr="00C611DE">
        <w:rPr>
          <w:rStyle w:val="null1"/>
          <w:rFonts w:ascii="Palatino Linotype" w:hAnsi="Palatino Linotype" w:cstheme="minorHAnsi"/>
        </w:rPr>
        <w:t>hey use real</w:t>
      </w:r>
      <w:r w:rsidR="00117BEE">
        <w:rPr>
          <w:rStyle w:val="null1"/>
          <w:rFonts w:ascii="Palatino Linotype" w:hAnsi="Palatino Linotype" w:cstheme="minorHAnsi"/>
        </w:rPr>
        <w:t>-</w:t>
      </w:r>
      <w:r w:rsidRPr="00C611DE">
        <w:rPr>
          <w:rStyle w:val="null1"/>
          <w:rFonts w:ascii="Palatino Linotype" w:hAnsi="Palatino Linotype" w:cstheme="minorHAnsi"/>
        </w:rPr>
        <w:t xml:space="preserve">time contingency </w:t>
      </w:r>
      <w:r w:rsidRPr="004B0773">
        <w:rPr>
          <w:rStyle w:val="null1"/>
          <w:rFonts w:ascii="Palatino Linotype" w:hAnsi="Palatino Linotype" w:cstheme="minorHAnsi"/>
        </w:rPr>
        <w:t>analysis and other tools.</w:t>
      </w:r>
    </w:p>
    <w:p w14:paraId="51B4EE84" w14:textId="3D7FCA71" w:rsidR="004B0773" w:rsidRDefault="004B0773" w:rsidP="004B0773">
      <w:pPr>
        <w:pStyle w:val="null"/>
        <w:spacing w:before="0" w:beforeAutospacing="0" w:after="120" w:afterAutospacing="0" w:line="276" w:lineRule="auto"/>
        <w:rPr>
          <w:rStyle w:val="null1"/>
          <w:rFonts w:ascii="Palatino Linotype" w:hAnsi="Palatino Linotype" w:cs="Calibri"/>
          <w:sz w:val="22"/>
          <w:szCs w:val="22"/>
        </w:rPr>
      </w:pPr>
      <w:r w:rsidRPr="004B0773">
        <w:rPr>
          <w:rStyle w:val="null1"/>
          <w:rFonts w:ascii="Palatino Linotype" w:hAnsi="Palatino Linotype" w:cs="Calibri"/>
          <w:sz w:val="22"/>
          <w:szCs w:val="22"/>
        </w:rPr>
        <w:t xml:space="preserve">APS has performed power flow analysis to assess the operational and planning reliability impacts of </w:t>
      </w:r>
      <w:r w:rsidR="00C46DE7">
        <w:rPr>
          <w:rStyle w:val="null1"/>
          <w:rFonts w:ascii="Palatino Linotype" w:hAnsi="Palatino Linotype" w:cs="Calibri"/>
          <w:sz w:val="22"/>
          <w:szCs w:val="22"/>
        </w:rPr>
        <w:t xml:space="preserve">removing </w:t>
      </w:r>
      <w:r w:rsidRPr="004B0773">
        <w:rPr>
          <w:rStyle w:val="null1"/>
          <w:rFonts w:ascii="Palatino Linotype" w:hAnsi="Palatino Linotype" w:cs="Calibri"/>
          <w:sz w:val="22"/>
          <w:szCs w:val="22"/>
        </w:rPr>
        <w:t>these WECC paths</w:t>
      </w:r>
      <w:r w:rsidR="007F63D8">
        <w:rPr>
          <w:rStyle w:val="null1"/>
          <w:rFonts w:ascii="Palatino Linotype" w:hAnsi="Palatino Linotype" w:cs="Calibri"/>
          <w:sz w:val="22"/>
          <w:szCs w:val="22"/>
        </w:rPr>
        <w:t xml:space="preserve"> from the </w:t>
      </w:r>
      <w:r w:rsidR="001B57D3">
        <w:rPr>
          <w:rFonts w:ascii="Palatino Linotype" w:hAnsi="Palatino Linotype" w:cstheme="minorHAnsi"/>
        </w:rPr>
        <w:t>c</w:t>
      </w:r>
      <w:r w:rsidR="001B57D3" w:rsidRPr="00C20D81">
        <w:rPr>
          <w:rFonts w:ascii="Palatino Linotype" w:hAnsi="Palatino Linotype" w:cstheme="minorHAnsi"/>
        </w:rPr>
        <w:t>atalog</w:t>
      </w:r>
      <w:r w:rsidRPr="004B0773">
        <w:rPr>
          <w:rStyle w:val="null1"/>
          <w:rFonts w:ascii="Palatino Linotype" w:hAnsi="Palatino Linotype" w:cs="Calibri"/>
          <w:sz w:val="22"/>
          <w:szCs w:val="22"/>
        </w:rPr>
        <w:t>.</w:t>
      </w:r>
      <w:r w:rsidR="001B57D3">
        <w:rPr>
          <w:rStyle w:val="null1"/>
          <w:rFonts w:ascii="Palatino Linotype" w:hAnsi="Palatino Linotype" w:cs="Calibri"/>
          <w:sz w:val="22"/>
          <w:szCs w:val="22"/>
        </w:rPr>
        <w:t xml:space="preserve"> </w:t>
      </w:r>
      <w:r w:rsidRPr="004B0773">
        <w:rPr>
          <w:rStyle w:val="null1"/>
          <w:rFonts w:ascii="Palatino Linotype" w:hAnsi="Palatino Linotype" w:cs="Calibri"/>
          <w:sz w:val="22"/>
          <w:szCs w:val="22"/>
        </w:rPr>
        <w:t>System Operations performed MOD-029 and operations horizons reliability studies with scheduled generation output and transmission outages to ensure acceptable pre- and post-contingency system performance, including the avoidance of load shedding.</w:t>
      </w:r>
      <w:r w:rsidR="001B57D3">
        <w:rPr>
          <w:rStyle w:val="null1"/>
          <w:rFonts w:ascii="Palatino Linotype" w:hAnsi="Palatino Linotype" w:cs="Calibri"/>
          <w:sz w:val="22"/>
          <w:szCs w:val="22"/>
        </w:rPr>
        <w:t xml:space="preserve"> </w:t>
      </w:r>
      <w:r w:rsidRPr="004B0773">
        <w:rPr>
          <w:rStyle w:val="null1"/>
          <w:rFonts w:ascii="Palatino Linotype" w:hAnsi="Palatino Linotype" w:cs="Calibri"/>
          <w:sz w:val="22"/>
          <w:szCs w:val="22"/>
        </w:rPr>
        <w:t xml:space="preserve">Additionally, </w:t>
      </w:r>
      <w:r w:rsidR="000336F8">
        <w:rPr>
          <w:rStyle w:val="null1"/>
          <w:rFonts w:ascii="Palatino Linotype" w:hAnsi="Palatino Linotype" w:cs="Calibri"/>
          <w:sz w:val="22"/>
          <w:szCs w:val="22"/>
        </w:rPr>
        <w:t xml:space="preserve">APS </w:t>
      </w:r>
      <w:r w:rsidRPr="004B0773">
        <w:rPr>
          <w:rStyle w:val="null1"/>
          <w:rFonts w:ascii="Palatino Linotype" w:hAnsi="Palatino Linotype" w:cs="Calibri"/>
          <w:sz w:val="22"/>
          <w:szCs w:val="22"/>
        </w:rPr>
        <w:t>Transmission Planning coordinated with its neighbors for base case development and performed FAC-013 and TPL-001 studies.</w:t>
      </w:r>
      <w:r w:rsidR="001B57D3">
        <w:rPr>
          <w:rStyle w:val="null1"/>
          <w:rFonts w:ascii="Palatino Linotype" w:hAnsi="Palatino Linotype" w:cs="Calibri"/>
          <w:sz w:val="22"/>
          <w:szCs w:val="22"/>
        </w:rPr>
        <w:t xml:space="preserve"> </w:t>
      </w:r>
      <w:r w:rsidR="007F63D8" w:rsidRPr="004B0773">
        <w:rPr>
          <w:rStyle w:val="null1"/>
          <w:rFonts w:ascii="Palatino Linotype" w:hAnsi="Palatino Linotype" w:cs="Calibri"/>
          <w:sz w:val="22"/>
          <w:szCs w:val="22"/>
        </w:rPr>
        <w:t xml:space="preserve">After </w:t>
      </w:r>
      <w:r w:rsidR="007F63D8">
        <w:rPr>
          <w:rStyle w:val="null1"/>
          <w:rFonts w:ascii="Palatino Linotype" w:hAnsi="Palatino Linotype" w:cs="Calibri"/>
          <w:sz w:val="22"/>
          <w:szCs w:val="22"/>
        </w:rPr>
        <w:t xml:space="preserve">completing these studies, APS </w:t>
      </w:r>
      <w:r w:rsidR="007F63D8" w:rsidRPr="004B0773">
        <w:rPr>
          <w:rStyle w:val="null1"/>
          <w:rFonts w:ascii="Palatino Linotype" w:hAnsi="Palatino Linotype" w:cs="Calibri"/>
          <w:sz w:val="22"/>
          <w:szCs w:val="22"/>
        </w:rPr>
        <w:t>determin</w:t>
      </w:r>
      <w:r w:rsidR="007F63D8">
        <w:rPr>
          <w:rStyle w:val="null1"/>
          <w:rFonts w:ascii="Palatino Linotype" w:hAnsi="Palatino Linotype" w:cs="Calibri"/>
          <w:sz w:val="22"/>
          <w:szCs w:val="22"/>
        </w:rPr>
        <w:t xml:space="preserve">ed </w:t>
      </w:r>
      <w:r w:rsidR="007F63D8" w:rsidRPr="004B0773">
        <w:rPr>
          <w:rStyle w:val="null1"/>
          <w:rFonts w:ascii="Palatino Linotype" w:hAnsi="Palatino Linotype" w:cs="Calibri"/>
          <w:sz w:val="22"/>
          <w:szCs w:val="22"/>
        </w:rPr>
        <w:t xml:space="preserve">that reliability </w:t>
      </w:r>
      <w:r w:rsidR="007F63D8">
        <w:rPr>
          <w:rStyle w:val="null1"/>
          <w:rFonts w:ascii="Palatino Linotype" w:hAnsi="Palatino Linotype" w:cs="Calibri"/>
          <w:sz w:val="22"/>
          <w:szCs w:val="22"/>
        </w:rPr>
        <w:t xml:space="preserve">of the BES </w:t>
      </w:r>
      <w:r w:rsidR="007F63D8" w:rsidRPr="004B0773">
        <w:rPr>
          <w:rStyle w:val="null1"/>
          <w:rFonts w:ascii="Palatino Linotype" w:hAnsi="Palatino Linotype" w:cs="Calibri"/>
          <w:sz w:val="22"/>
          <w:szCs w:val="22"/>
        </w:rPr>
        <w:t>would</w:t>
      </w:r>
      <w:r w:rsidR="007F63D8">
        <w:rPr>
          <w:rStyle w:val="null1"/>
          <w:rFonts w:ascii="Palatino Linotype" w:hAnsi="Palatino Linotype" w:cs="Calibri"/>
          <w:sz w:val="22"/>
          <w:szCs w:val="22"/>
        </w:rPr>
        <w:t xml:space="preserve"> not be </w:t>
      </w:r>
      <w:r w:rsidR="00117BEE">
        <w:rPr>
          <w:rStyle w:val="null1"/>
          <w:rFonts w:ascii="Palatino Linotype" w:hAnsi="Palatino Linotype" w:cs="Calibri"/>
          <w:sz w:val="22"/>
          <w:szCs w:val="22"/>
        </w:rPr>
        <w:t xml:space="preserve">affected </w:t>
      </w:r>
      <w:r w:rsidR="007F63D8">
        <w:rPr>
          <w:rStyle w:val="null1"/>
          <w:rFonts w:ascii="Palatino Linotype" w:hAnsi="Palatino Linotype" w:cs="Calibri"/>
          <w:sz w:val="22"/>
          <w:szCs w:val="22"/>
        </w:rPr>
        <w:t>by removing the paths from the</w:t>
      </w:r>
      <w:r w:rsidR="007F63D8" w:rsidRPr="004B0773">
        <w:rPr>
          <w:rStyle w:val="null1"/>
          <w:rFonts w:ascii="Palatino Linotype" w:hAnsi="Palatino Linotype" w:cs="Calibri"/>
          <w:sz w:val="22"/>
          <w:szCs w:val="22"/>
        </w:rPr>
        <w:t xml:space="preserve"> WECC </w:t>
      </w:r>
      <w:r w:rsidR="007F63D8">
        <w:rPr>
          <w:rStyle w:val="null1"/>
          <w:rFonts w:ascii="Palatino Linotype" w:hAnsi="Palatino Linotype" w:cs="Calibri"/>
          <w:sz w:val="22"/>
          <w:szCs w:val="22"/>
        </w:rPr>
        <w:t>Path Rating Catalog or Attachment B of FAC-501-WECC-2.</w:t>
      </w:r>
      <w:r w:rsidR="001B57D3">
        <w:rPr>
          <w:rStyle w:val="null1"/>
          <w:rFonts w:ascii="Palatino Linotype" w:hAnsi="Palatino Linotype" w:cs="Calibri"/>
          <w:sz w:val="22"/>
          <w:szCs w:val="22"/>
        </w:rPr>
        <w:t xml:space="preserve"> </w:t>
      </w:r>
    </w:p>
    <w:p w14:paraId="252F0E5A" w14:textId="77777777" w:rsidR="00BA63AF" w:rsidRPr="00BF1B07" w:rsidRDefault="00BA63AF" w:rsidP="00BF1B07">
      <w:pPr>
        <w:pStyle w:val="Heading2"/>
      </w:pPr>
      <w:bookmarkStart w:id="12" w:name="_Toc60911002"/>
      <w:r w:rsidRPr="00BF1B07">
        <w:t xml:space="preserve">Continuing Maintenance </w:t>
      </w:r>
      <w:r w:rsidR="00D75B9B" w:rsidRPr="00BF1B07">
        <w:t>for Paths 22, 50, and 51</w:t>
      </w:r>
      <w:bookmarkEnd w:id="12"/>
    </w:p>
    <w:p w14:paraId="194668B7" w14:textId="66088CD5" w:rsidR="001F5202" w:rsidRDefault="00117BEE" w:rsidP="001F5202">
      <w:pPr>
        <w:pStyle w:val="null"/>
        <w:spacing w:before="0" w:beforeAutospacing="0" w:after="120" w:afterAutospacing="0" w:line="276" w:lineRule="auto"/>
        <w:rPr>
          <w:rFonts w:ascii="Palatino Linotype" w:hAnsi="Palatino Linotype" w:cs="Calibri"/>
          <w:sz w:val="22"/>
          <w:szCs w:val="22"/>
        </w:rPr>
      </w:pPr>
      <w:r>
        <w:rPr>
          <w:rStyle w:val="null1"/>
          <w:rFonts w:ascii="Palatino Linotype" w:hAnsi="Palatino Linotype" w:cs="Calibri"/>
          <w:sz w:val="22"/>
          <w:szCs w:val="22"/>
        </w:rPr>
        <w:t xml:space="preserve">If </w:t>
      </w:r>
      <w:r w:rsidR="001F5202">
        <w:rPr>
          <w:rStyle w:val="null1"/>
          <w:rFonts w:ascii="Palatino Linotype" w:hAnsi="Palatino Linotype" w:cs="Calibri"/>
          <w:sz w:val="22"/>
          <w:szCs w:val="22"/>
        </w:rPr>
        <w:t>Paths 22, 50,</w:t>
      </w:r>
      <w:r w:rsidR="00F47659">
        <w:rPr>
          <w:rStyle w:val="null1"/>
          <w:rFonts w:ascii="Palatino Linotype" w:hAnsi="Palatino Linotype" w:cs="Calibri"/>
          <w:sz w:val="22"/>
          <w:szCs w:val="22"/>
        </w:rPr>
        <w:t xml:space="preserve"> </w:t>
      </w:r>
      <w:r w:rsidR="001F5202">
        <w:rPr>
          <w:rStyle w:val="null1"/>
          <w:rFonts w:ascii="Palatino Linotype" w:hAnsi="Palatino Linotype" w:cs="Calibri"/>
          <w:sz w:val="22"/>
          <w:szCs w:val="22"/>
        </w:rPr>
        <w:t xml:space="preserve">and 51 are removed from Attachment B, maintenance on associated facilities will </w:t>
      </w:r>
      <w:proofErr w:type="gramStart"/>
      <w:r w:rsidR="001F5202">
        <w:rPr>
          <w:rStyle w:val="null1"/>
          <w:rFonts w:ascii="Palatino Linotype" w:hAnsi="Palatino Linotype" w:cs="Calibri"/>
          <w:sz w:val="22"/>
          <w:szCs w:val="22"/>
        </w:rPr>
        <w:t>still continue</w:t>
      </w:r>
      <w:proofErr w:type="gramEnd"/>
      <w:r w:rsidR="001F5202">
        <w:rPr>
          <w:rStyle w:val="null1"/>
          <w:rFonts w:ascii="Palatino Linotype" w:hAnsi="Palatino Linotype" w:cs="Calibri"/>
          <w:sz w:val="22"/>
          <w:szCs w:val="22"/>
        </w:rPr>
        <w:t xml:space="preserve"> per APS’</w:t>
      </w:r>
      <w:r w:rsidR="00DC104A">
        <w:rPr>
          <w:rStyle w:val="null1"/>
          <w:rFonts w:ascii="Palatino Linotype" w:hAnsi="Palatino Linotype" w:cs="Calibri"/>
          <w:sz w:val="22"/>
          <w:szCs w:val="22"/>
        </w:rPr>
        <w:t>s</w:t>
      </w:r>
      <w:r w:rsidR="001F5202">
        <w:rPr>
          <w:rStyle w:val="null1"/>
          <w:rFonts w:ascii="Palatino Linotype" w:hAnsi="Palatino Linotype" w:cs="Calibri"/>
          <w:sz w:val="22"/>
          <w:szCs w:val="22"/>
        </w:rPr>
        <w:t xml:space="preserve"> Transmission Maintenance and Inspection Plan (Plan).</w:t>
      </w:r>
      <w:r w:rsidR="001B57D3">
        <w:rPr>
          <w:rStyle w:val="null1"/>
          <w:rFonts w:ascii="Palatino Linotype" w:hAnsi="Palatino Linotype" w:cs="Calibri"/>
          <w:sz w:val="22"/>
          <w:szCs w:val="22"/>
        </w:rPr>
        <w:t xml:space="preserve"> </w:t>
      </w:r>
      <w:r w:rsidR="001F5202">
        <w:rPr>
          <w:rStyle w:val="null1"/>
          <w:rFonts w:ascii="Palatino Linotype" w:hAnsi="Palatino Linotype" w:cs="Calibri"/>
          <w:sz w:val="22"/>
          <w:szCs w:val="22"/>
        </w:rPr>
        <w:t>That Plan includes additional inspection and maintenance programs for APS’</w:t>
      </w:r>
      <w:r w:rsidR="00B22A99">
        <w:rPr>
          <w:rStyle w:val="null1"/>
          <w:rFonts w:ascii="Palatino Linotype" w:hAnsi="Palatino Linotype" w:cs="Calibri"/>
          <w:sz w:val="22"/>
          <w:szCs w:val="22"/>
        </w:rPr>
        <w:t>s</w:t>
      </w:r>
      <w:r w:rsidR="001F5202">
        <w:rPr>
          <w:rStyle w:val="null1"/>
          <w:rFonts w:ascii="Palatino Linotype" w:hAnsi="Palatino Linotype" w:cs="Calibri"/>
          <w:sz w:val="22"/>
          <w:szCs w:val="22"/>
        </w:rPr>
        <w:t xml:space="preserve"> Transmission Line and Substations included in Attachment A of the FAC.</w:t>
      </w:r>
      <w:r w:rsidR="001B57D3">
        <w:rPr>
          <w:rStyle w:val="null1"/>
          <w:rFonts w:ascii="Palatino Linotype" w:hAnsi="Palatino Linotype" w:cs="Calibri"/>
          <w:sz w:val="22"/>
          <w:szCs w:val="22"/>
        </w:rPr>
        <w:t xml:space="preserve"> </w:t>
      </w:r>
      <w:r w:rsidR="001F5202">
        <w:rPr>
          <w:rStyle w:val="null1"/>
          <w:rFonts w:ascii="Palatino Linotype" w:hAnsi="Palatino Linotype" w:cs="Calibri"/>
          <w:sz w:val="22"/>
          <w:szCs w:val="22"/>
        </w:rPr>
        <w:t>T</w:t>
      </w:r>
      <w:r w:rsidR="001F5202" w:rsidRPr="007F63D8">
        <w:rPr>
          <w:rFonts w:ascii="Palatino Linotype" w:hAnsi="Palatino Linotype" w:cs="Calibri"/>
          <w:sz w:val="22"/>
          <w:szCs w:val="22"/>
        </w:rPr>
        <w:t>hese programs include visual inspections, predictive maintenance activities such as Thermography and Corona Scanning, and periodic time</w:t>
      </w:r>
      <w:r>
        <w:rPr>
          <w:rFonts w:ascii="Palatino Linotype" w:hAnsi="Palatino Linotype" w:cs="Calibri"/>
          <w:sz w:val="22"/>
          <w:szCs w:val="22"/>
        </w:rPr>
        <w:t>-</w:t>
      </w:r>
      <w:r w:rsidR="001F5202" w:rsidRPr="007F63D8">
        <w:rPr>
          <w:rFonts w:ascii="Palatino Linotype" w:hAnsi="Palatino Linotype" w:cs="Calibri"/>
          <w:sz w:val="22"/>
          <w:szCs w:val="22"/>
        </w:rPr>
        <w:t xml:space="preserve"> or condition-based maintenance.</w:t>
      </w:r>
      <w:r w:rsidR="001B57D3">
        <w:rPr>
          <w:rFonts w:ascii="Palatino Linotype" w:hAnsi="Palatino Linotype" w:cs="Calibri"/>
          <w:sz w:val="22"/>
          <w:szCs w:val="22"/>
        </w:rPr>
        <w:t xml:space="preserve"> </w:t>
      </w:r>
      <w:r w:rsidR="001F5202" w:rsidRPr="007F63D8">
        <w:rPr>
          <w:rFonts w:ascii="Palatino Linotype" w:hAnsi="Palatino Linotype" w:cs="Calibri"/>
          <w:sz w:val="22"/>
          <w:szCs w:val="22"/>
        </w:rPr>
        <w:t>In addition, our high</w:t>
      </w:r>
      <w:r>
        <w:rPr>
          <w:rFonts w:ascii="Palatino Linotype" w:hAnsi="Palatino Linotype" w:cs="Calibri"/>
          <w:sz w:val="22"/>
          <w:szCs w:val="22"/>
        </w:rPr>
        <w:t>-</w:t>
      </w:r>
      <w:r w:rsidR="001F5202" w:rsidRPr="007F63D8">
        <w:rPr>
          <w:rFonts w:ascii="Palatino Linotype" w:hAnsi="Palatino Linotype" w:cs="Calibri"/>
          <w:sz w:val="22"/>
          <w:szCs w:val="22"/>
        </w:rPr>
        <w:t xml:space="preserve">voltage transformer and shunt reactor fleet also have on-line gas monitors </w:t>
      </w:r>
      <w:r>
        <w:rPr>
          <w:rFonts w:ascii="Palatino Linotype" w:hAnsi="Palatino Linotype" w:cs="Calibri"/>
          <w:sz w:val="22"/>
          <w:szCs w:val="22"/>
        </w:rPr>
        <w:t>that</w:t>
      </w:r>
      <w:r w:rsidRPr="007F63D8">
        <w:rPr>
          <w:rFonts w:ascii="Palatino Linotype" w:hAnsi="Palatino Linotype" w:cs="Calibri"/>
          <w:sz w:val="22"/>
          <w:szCs w:val="22"/>
        </w:rPr>
        <w:t xml:space="preserve"> </w:t>
      </w:r>
      <w:r w:rsidR="001F5202" w:rsidRPr="007F63D8">
        <w:rPr>
          <w:rFonts w:ascii="Palatino Linotype" w:hAnsi="Palatino Linotype" w:cs="Calibri"/>
          <w:sz w:val="22"/>
          <w:szCs w:val="22"/>
        </w:rPr>
        <w:t>monitor their condition in real time and send alerts</w:t>
      </w:r>
      <w:r w:rsidR="001B57D3">
        <w:rPr>
          <w:rFonts w:ascii="Palatino Linotype" w:hAnsi="Palatino Linotype" w:cs="Calibri"/>
          <w:sz w:val="22"/>
          <w:szCs w:val="22"/>
        </w:rPr>
        <w:t xml:space="preserve"> </w:t>
      </w:r>
      <w:r w:rsidR="001F5202" w:rsidRPr="007F63D8">
        <w:rPr>
          <w:rFonts w:ascii="Palatino Linotype" w:hAnsi="Palatino Linotype" w:cs="Calibri"/>
          <w:sz w:val="22"/>
          <w:szCs w:val="22"/>
        </w:rPr>
        <w:t>if issues are detected.</w:t>
      </w:r>
      <w:r w:rsidR="001B57D3">
        <w:rPr>
          <w:rFonts w:ascii="Palatino Linotype" w:hAnsi="Palatino Linotype" w:cs="Calibri"/>
          <w:sz w:val="22"/>
          <w:szCs w:val="22"/>
        </w:rPr>
        <w:t xml:space="preserve"> </w:t>
      </w:r>
    </w:p>
    <w:p w14:paraId="3D2BFC0A" w14:textId="77777777" w:rsidR="007F63D8" w:rsidRPr="00BF1B07" w:rsidRDefault="007F63D8" w:rsidP="00BF1B07">
      <w:pPr>
        <w:pStyle w:val="Heading2"/>
      </w:pPr>
      <w:bookmarkStart w:id="13" w:name="_Toc60911003"/>
      <w:r w:rsidRPr="00BF1B07">
        <w:t>Open and Transparent Process for Modifying Attachment B</w:t>
      </w:r>
      <w:bookmarkEnd w:id="13"/>
    </w:p>
    <w:p w14:paraId="5B70D104" w14:textId="5696542C" w:rsidR="007F63D8" w:rsidRDefault="007F63D8" w:rsidP="007F63D8">
      <w:pPr>
        <w:rPr>
          <w:rFonts w:ascii="Palatino Linotype" w:hAnsi="Palatino Linotype"/>
        </w:rPr>
      </w:pPr>
      <w:r>
        <w:rPr>
          <w:rFonts w:ascii="Palatino Linotype" w:hAnsi="Palatino Linotype"/>
        </w:rPr>
        <w:t xml:space="preserve">Addressing FERC’s due process concerns, APS vetted the removal of </w:t>
      </w:r>
      <w:r w:rsidR="001F5202">
        <w:rPr>
          <w:rFonts w:ascii="Palatino Linotype" w:hAnsi="Palatino Linotype"/>
        </w:rPr>
        <w:t>P</w:t>
      </w:r>
      <w:r>
        <w:rPr>
          <w:rFonts w:ascii="Palatino Linotype" w:hAnsi="Palatino Linotype"/>
        </w:rPr>
        <w:t xml:space="preserve">aths 22, 50, and 51 from the WECC Path Rating Catalog in numerous forums and ultimately for removal from Attachment B via the WECC-0141 FAC-501-WECC-3 project developed using the </w:t>
      </w:r>
      <w:r w:rsidR="009E6393">
        <w:rPr>
          <w:rFonts w:ascii="Palatino Linotype" w:hAnsi="Palatino Linotype"/>
        </w:rPr>
        <w:t>Procedures.</w:t>
      </w:r>
      <w:r w:rsidR="001B57D3">
        <w:rPr>
          <w:rFonts w:ascii="Palatino Linotype" w:hAnsi="Palatino Linotype"/>
        </w:rPr>
        <w:t xml:space="preserve"> </w:t>
      </w:r>
    </w:p>
    <w:p w14:paraId="120F67F0" w14:textId="78AC8A35" w:rsidR="007F63D8" w:rsidRDefault="007F63D8" w:rsidP="007F63D8">
      <w:pPr>
        <w:rPr>
          <w:rFonts w:ascii="Palatino Linotype" w:hAnsi="Palatino Linotype"/>
        </w:rPr>
      </w:pPr>
      <w:r w:rsidRPr="00C611DE">
        <w:rPr>
          <w:rFonts w:ascii="Palatino Linotype" w:hAnsi="Palatino Linotype" w:cs="Calibri"/>
        </w:rPr>
        <w:t xml:space="preserve">As part of </w:t>
      </w:r>
      <w:r>
        <w:rPr>
          <w:rFonts w:ascii="Palatino Linotype" w:hAnsi="Palatino Linotype" w:cs="Calibri"/>
        </w:rPr>
        <w:t>its</w:t>
      </w:r>
      <w:r w:rsidRPr="00C611DE">
        <w:rPr>
          <w:rFonts w:ascii="Palatino Linotype" w:hAnsi="Palatino Linotype" w:cs="Calibri"/>
        </w:rPr>
        <w:t xml:space="preserve"> communication and coordination effort, APS met with WECC staff on two occasions in 2018 for guidance on </w:t>
      </w:r>
      <w:r>
        <w:rPr>
          <w:rFonts w:ascii="Palatino Linotype" w:hAnsi="Palatino Linotype" w:cs="Calibri"/>
        </w:rPr>
        <w:t>removing</w:t>
      </w:r>
      <w:r w:rsidRPr="00C611DE">
        <w:rPr>
          <w:rFonts w:ascii="Palatino Linotype" w:hAnsi="Palatino Linotype" w:cs="Calibri"/>
        </w:rPr>
        <w:t xml:space="preserve"> these WECC paths</w:t>
      </w:r>
      <w:r w:rsidR="001F5202">
        <w:rPr>
          <w:rFonts w:ascii="Palatino Linotype" w:hAnsi="Palatino Linotype" w:cs="Calibri"/>
        </w:rPr>
        <w:t xml:space="preserve">; </w:t>
      </w:r>
      <w:r w:rsidRPr="00C611DE">
        <w:rPr>
          <w:rFonts w:ascii="Palatino Linotype" w:hAnsi="Palatino Linotype" w:cs="Calibri"/>
        </w:rPr>
        <w:t>however, it was determined that no formal process existed.</w:t>
      </w:r>
      <w:r w:rsidR="001B57D3">
        <w:rPr>
          <w:rFonts w:ascii="Palatino Linotype" w:hAnsi="Palatino Linotype" w:cs="Calibri"/>
        </w:rPr>
        <w:t xml:space="preserve"> </w:t>
      </w:r>
      <w:r w:rsidRPr="00C611DE">
        <w:rPr>
          <w:rFonts w:ascii="Palatino Linotype" w:hAnsi="Palatino Linotype" w:cs="Calibri"/>
        </w:rPr>
        <w:t>For this reason (and due to a lack of other regionally defined criteria) APS worked with WECC to self-develop a process that included analyzing reliability risk (described above) and communication with joint owners of path facilities, adjacent utilities, and industry stakeholders.</w:t>
      </w:r>
    </w:p>
    <w:p w14:paraId="741321B9" w14:textId="198ECA86" w:rsidR="007F63D8" w:rsidRDefault="007F63D8" w:rsidP="007F63D8">
      <w:pPr>
        <w:rPr>
          <w:rFonts w:ascii="Palatino Linotype" w:hAnsi="Palatino Linotype"/>
        </w:rPr>
      </w:pPr>
      <w:r w:rsidRPr="00C611DE">
        <w:rPr>
          <w:rFonts w:ascii="Palatino Linotype" w:hAnsi="Palatino Linotype" w:cs="Calibri"/>
        </w:rPr>
        <w:t>APS had numerous meetings and communications with the entities that are co-owners of the paths</w:t>
      </w:r>
      <w:r w:rsidR="001F5202">
        <w:rPr>
          <w:rFonts w:ascii="Palatino Linotype" w:hAnsi="Palatino Linotype" w:cs="Calibri"/>
        </w:rPr>
        <w:t>.</w:t>
      </w:r>
      <w:r w:rsidR="001B57D3">
        <w:rPr>
          <w:rFonts w:ascii="Palatino Linotype" w:hAnsi="Palatino Linotype" w:cs="Calibri"/>
        </w:rPr>
        <w:t xml:space="preserve"> </w:t>
      </w:r>
      <w:r w:rsidR="00B22A99">
        <w:rPr>
          <w:rFonts w:ascii="Palatino Linotype" w:hAnsi="Palatino Linotype" w:cs="Calibri"/>
        </w:rPr>
        <w:t>T</w:t>
      </w:r>
      <w:r w:rsidR="006E3451" w:rsidRPr="00C611DE">
        <w:rPr>
          <w:rFonts w:ascii="Palatino Linotype" w:hAnsi="Palatino Linotype" w:cs="Calibri"/>
        </w:rPr>
        <w:t>he Engineering and Operating Committees of the respective paths</w:t>
      </w:r>
      <w:r w:rsidR="006E3451">
        <w:rPr>
          <w:rFonts w:ascii="Palatino Linotype" w:hAnsi="Palatino Linotype" w:cs="Calibri"/>
        </w:rPr>
        <w:t xml:space="preserve"> approved t</w:t>
      </w:r>
      <w:r w:rsidR="001F5202">
        <w:rPr>
          <w:rFonts w:ascii="Palatino Linotype" w:hAnsi="Palatino Linotype" w:cs="Calibri"/>
        </w:rPr>
        <w:t xml:space="preserve">he </w:t>
      </w:r>
      <w:r w:rsidRPr="00C611DE">
        <w:rPr>
          <w:rFonts w:ascii="Palatino Linotype" w:hAnsi="Palatino Linotype" w:cs="Calibri"/>
        </w:rPr>
        <w:t xml:space="preserve">decision to </w:t>
      </w:r>
      <w:r>
        <w:rPr>
          <w:rFonts w:ascii="Palatino Linotype" w:hAnsi="Palatino Linotype" w:cs="Calibri"/>
        </w:rPr>
        <w:t>remove</w:t>
      </w:r>
      <w:r w:rsidRPr="00C611DE">
        <w:rPr>
          <w:rFonts w:ascii="Palatino Linotype" w:hAnsi="Palatino Linotype" w:cs="Calibri"/>
        </w:rPr>
        <w:t xml:space="preserve"> th</w:t>
      </w:r>
      <w:r w:rsidR="006E3451">
        <w:rPr>
          <w:rFonts w:ascii="Palatino Linotype" w:hAnsi="Palatino Linotype" w:cs="Calibri"/>
        </w:rPr>
        <w:t>os</w:t>
      </w:r>
      <w:r w:rsidRPr="00C611DE">
        <w:rPr>
          <w:rFonts w:ascii="Palatino Linotype" w:hAnsi="Palatino Linotype" w:cs="Calibri"/>
        </w:rPr>
        <w:t>e paths.</w:t>
      </w:r>
      <w:r w:rsidR="001B57D3">
        <w:rPr>
          <w:rFonts w:ascii="Palatino Linotype" w:hAnsi="Palatino Linotype" w:cs="Calibri"/>
        </w:rPr>
        <w:t xml:space="preserve"> </w:t>
      </w:r>
      <w:r w:rsidRPr="00C611DE">
        <w:rPr>
          <w:rFonts w:ascii="Palatino Linotype" w:hAnsi="Palatino Linotype" w:cs="Calibri"/>
        </w:rPr>
        <w:t>In addition, APS sent notification letters to all adjacent utilities,</w:t>
      </w:r>
      <w:r w:rsidRPr="00C611DE">
        <w:rPr>
          <w:rFonts w:ascii="Palatino Linotype" w:hAnsi="Palatino Linotype" w:cstheme="minorHAnsi"/>
        </w:rPr>
        <w:t xml:space="preserve"> and held one</w:t>
      </w:r>
      <w:r w:rsidR="001F5202">
        <w:rPr>
          <w:rFonts w:ascii="Palatino Linotype" w:hAnsi="Palatino Linotype" w:cstheme="minorHAnsi"/>
        </w:rPr>
        <w:t>-</w:t>
      </w:r>
      <w:r w:rsidRPr="00C611DE">
        <w:rPr>
          <w:rFonts w:ascii="Palatino Linotype" w:hAnsi="Palatino Linotype" w:cstheme="minorHAnsi"/>
        </w:rPr>
        <w:t>on</w:t>
      </w:r>
      <w:r w:rsidR="001F5202">
        <w:rPr>
          <w:rFonts w:ascii="Palatino Linotype" w:hAnsi="Palatino Linotype" w:cstheme="minorHAnsi"/>
        </w:rPr>
        <w:t>-</w:t>
      </w:r>
      <w:r w:rsidRPr="00C611DE">
        <w:rPr>
          <w:rFonts w:ascii="Palatino Linotype" w:hAnsi="Palatino Linotype" w:cstheme="minorHAnsi"/>
        </w:rPr>
        <w:t xml:space="preserve">one discussions with key entities to address any concerns and to ensure there were no negative impacts to their systems due to the removal of these paths from the </w:t>
      </w:r>
      <w:r w:rsidR="001B57D3">
        <w:rPr>
          <w:rFonts w:ascii="Palatino Linotype" w:hAnsi="Palatino Linotype" w:cstheme="minorHAnsi"/>
        </w:rPr>
        <w:t>c</w:t>
      </w:r>
      <w:r w:rsidR="001B57D3" w:rsidRPr="00C20D81">
        <w:rPr>
          <w:rFonts w:ascii="Palatino Linotype" w:hAnsi="Palatino Linotype" w:cstheme="minorHAnsi"/>
        </w:rPr>
        <w:t>atalog</w:t>
      </w:r>
      <w:r w:rsidR="001F5202">
        <w:rPr>
          <w:rFonts w:ascii="Palatino Linotype" w:hAnsi="Palatino Linotype" w:cstheme="minorHAnsi"/>
        </w:rPr>
        <w:t xml:space="preserve"> (and by inference Attachment B). </w:t>
      </w:r>
    </w:p>
    <w:p w14:paraId="1D01B79C" w14:textId="66F19B7C" w:rsidR="007F63D8" w:rsidRDefault="007F63D8" w:rsidP="007F63D8">
      <w:pPr>
        <w:rPr>
          <w:rFonts w:ascii="Palatino Linotype" w:hAnsi="Palatino Linotype"/>
        </w:rPr>
      </w:pPr>
      <w:r w:rsidRPr="00627252">
        <w:rPr>
          <w:rFonts w:ascii="Palatino Linotype" w:hAnsi="Palatino Linotype"/>
        </w:rPr>
        <w:lastRenderedPageBreak/>
        <w:t xml:space="preserve">On August 21, 2019, </w:t>
      </w:r>
      <w:r>
        <w:rPr>
          <w:rFonts w:ascii="Palatino Linotype" w:hAnsi="Palatino Linotype"/>
        </w:rPr>
        <w:t xml:space="preserve">APS </w:t>
      </w:r>
      <w:r w:rsidRPr="00627252">
        <w:rPr>
          <w:rFonts w:ascii="Palatino Linotype" w:hAnsi="Palatino Linotype"/>
        </w:rPr>
        <w:t xml:space="preserve">provided a public presentation to the Southwest Area Transmission (SWAT) Oversight group highlighting the </w:t>
      </w:r>
      <w:r>
        <w:rPr>
          <w:rFonts w:ascii="Palatino Linotype" w:hAnsi="Palatino Linotype"/>
        </w:rPr>
        <w:t>removal</w:t>
      </w:r>
      <w:r w:rsidRPr="00627252">
        <w:rPr>
          <w:rFonts w:ascii="Palatino Linotype" w:hAnsi="Palatino Linotype"/>
        </w:rPr>
        <w:t xml:space="preserve"> of the paths</w:t>
      </w:r>
      <w:r>
        <w:rPr>
          <w:rFonts w:ascii="Palatino Linotype" w:hAnsi="Palatino Linotype"/>
        </w:rPr>
        <w:t xml:space="preserve"> from the WECC Path Rating Catalog</w:t>
      </w:r>
      <w:r w:rsidRPr="00627252">
        <w:rPr>
          <w:rFonts w:ascii="Palatino Linotype" w:hAnsi="Palatino Linotype"/>
        </w:rPr>
        <w:t>. No concerns were raised by stakeholders.</w:t>
      </w:r>
      <w:r w:rsidR="001B57D3">
        <w:rPr>
          <w:rFonts w:ascii="Palatino Linotype" w:hAnsi="Palatino Linotype"/>
        </w:rPr>
        <w:t xml:space="preserve"> </w:t>
      </w:r>
    </w:p>
    <w:p w14:paraId="65EDA9D2" w14:textId="70D3133C" w:rsidR="007F63D8" w:rsidRDefault="007F63D8" w:rsidP="007F63D8">
      <w:pPr>
        <w:rPr>
          <w:rFonts w:ascii="Palatino Linotype" w:hAnsi="Palatino Linotype"/>
        </w:rPr>
      </w:pPr>
      <w:r w:rsidRPr="00627252">
        <w:rPr>
          <w:rFonts w:ascii="Palatino Linotype" w:hAnsi="Palatino Linotype"/>
        </w:rPr>
        <w:t>On September 3, 2019, A</w:t>
      </w:r>
      <w:r>
        <w:rPr>
          <w:rFonts w:ascii="Palatino Linotype" w:hAnsi="Palatino Linotype"/>
        </w:rPr>
        <w:t xml:space="preserve">PS </w:t>
      </w:r>
      <w:r w:rsidRPr="00627252">
        <w:rPr>
          <w:rFonts w:ascii="Palatino Linotype" w:hAnsi="Palatino Linotype"/>
        </w:rPr>
        <w:t xml:space="preserve">notified the WECC Studies Subcommittee (StS) of its intent to </w:t>
      </w:r>
      <w:r>
        <w:rPr>
          <w:rFonts w:ascii="Palatino Linotype" w:hAnsi="Palatino Linotype"/>
        </w:rPr>
        <w:t>remove</w:t>
      </w:r>
      <w:r w:rsidRPr="00627252">
        <w:rPr>
          <w:rFonts w:ascii="Palatino Linotype" w:hAnsi="Palatino Linotype"/>
        </w:rPr>
        <w:t xml:space="preserve"> the paths from </w:t>
      </w:r>
      <w:r>
        <w:rPr>
          <w:rFonts w:ascii="Palatino Linotype" w:hAnsi="Palatino Linotype"/>
        </w:rPr>
        <w:t xml:space="preserve">the </w:t>
      </w:r>
      <w:r w:rsidR="001B57D3">
        <w:rPr>
          <w:rFonts w:ascii="Palatino Linotype" w:hAnsi="Palatino Linotype" w:cstheme="minorHAnsi"/>
        </w:rPr>
        <w:t>c</w:t>
      </w:r>
      <w:r w:rsidR="001B57D3" w:rsidRPr="00C20D81">
        <w:rPr>
          <w:rFonts w:ascii="Palatino Linotype" w:hAnsi="Palatino Linotype" w:cstheme="minorHAnsi"/>
        </w:rPr>
        <w:t>atalog</w:t>
      </w:r>
      <w:r w:rsidRPr="00627252">
        <w:rPr>
          <w:rFonts w:ascii="Palatino Linotype" w:hAnsi="Palatino Linotype"/>
        </w:rPr>
        <w:t xml:space="preserve"> with an effective date of January 1, 2020</w:t>
      </w:r>
      <w:r>
        <w:rPr>
          <w:rFonts w:ascii="Palatino Linotype" w:hAnsi="Palatino Linotype"/>
        </w:rPr>
        <w:t>.</w:t>
      </w:r>
      <w:r w:rsidR="001B57D3">
        <w:rPr>
          <w:rFonts w:ascii="Palatino Linotype" w:hAnsi="Palatino Linotype"/>
        </w:rPr>
        <w:t xml:space="preserve"> </w:t>
      </w:r>
    </w:p>
    <w:p w14:paraId="6998C86F" w14:textId="4A574729" w:rsidR="007F63D8" w:rsidRDefault="007F63D8" w:rsidP="007F63D8">
      <w:pPr>
        <w:rPr>
          <w:rFonts w:ascii="Palatino Linotype" w:hAnsi="Palatino Linotype"/>
        </w:rPr>
      </w:pPr>
      <w:r w:rsidRPr="00627252">
        <w:rPr>
          <w:rFonts w:ascii="Palatino Linotype" w:hAnsi="Palatino Linotype"/>
        </w:rPr>
        <w:t>On October 18, 2019, A</w:t>
      </w:r>
      <w:r>
        <w:rPr>
          <w:rFonts w:ascii="Palatino Linotype" w:hAnsi="Palatino Linotype"/>
        </w:rPr>
        <w:t xml:space="preserve">PS </w:t>
      </w:r>
      <w:r w:rsidRPr="00627252">
        <w:rPr>
          <w:rFonts w:ascii="Palatino Linotype" w:hAnsi="Palatino Linotype"/>
        </w:rPr>
        <w:t xml:space="preserve">provided a presentation to the WECC Reliability Assessment Committee (RAC) summarizing the procedural background </w:t>
      </w:r>
      <w:r>
        <w:rPr>
          <w:rFonts w:ascii="Palatino Linotype" w:hAnsi="Palatino Linotype"/>
        </w:rPr>
        <w:t xml:space="preserve">for removing paths from the </w:t>
      </w:r>
      <w:r w:rsidR="001B57D3">
        <w:rPr>
          <w:rFonts w:ascii="Palatino Linotype" w:hAnsi="Palatino Linotype" w:cstheme="minorHAnsi"/>
        </w:rPr>
        <w:t>c</w:t>
      </w:r>
      <w:r w:rsidR="001B57D3" w:rsidRPr="00C20D81">
        <w:rPr>
          <w:rFonts w:ascii="Palatino Linotype" w:hAnsi="Palatino Linotype" w:cstheme="minorHAnsi"/>
        </w:rPr>
        <w:t>atalog</w:t>
      </w:r>
      <w:r w:rsidRPr="00627252">
        <w:rPr>
          <w:rFonts w:ascii="Palatino Linotype" w:hAnsi="Palatino Linotype"/>
        </w:rPr>
        <w:t xml:space="preserve">, comments received during the process, and the technical reasons why the </w:t>
      </w:r>
      <w:r>
        <w:rPr>
          <w:rFonts w:ascii="Palatino Linotype" w:hAnsi="Palatino Linotype"/>
        </w:rPr>
        <w:t>removal of the paths</w:t>
      </w:r>
      <w:r w:rsidRPr="00627252">
        <w:rPr>
          <w:rFonts w:ascii="Palatino Linotype" w:hAnsi="Palatino Linotype"/>
        </w:rPr>
        <w:t xml:space="preserve"> </w:t>
      </w:r>
      <w:r>
        <w:rPr>
          <w:rFonts w:ascii="Palatino Linotype" w:hAnsi="Palatino Linotype"/>
        </w:rPr>
        <w:t>was proposed.</w:t>
      </w:r>
      <w:r w:rsidR="001B57D3">
        <w:rPr>
          <w:rFonts w:ascii="Palatino Linotype" w:hAnsi="Palatino Linotype"/>
        </w:rPr>
        <w:t xml:space="preserve"> </w:t>
      </w:r>
    </w:p>
    <w:p w14:paraId="254E40CA" w14:textId="0CCE5F47" w:rsidR="007F63D8" w:rsidRDefault="007F63D8" w:rsidP="007F63D8">
      <w:pPr>
        <w:rPr>
          <w:rFonts w:ascii="Palatino Linotype" w:hAnsi="Palatino Linotype"/>
        </w:rPr>
      </w:pPr>
      <w:r w:rsidRPr="00C611DE">
        <w:rPr>
          <w:rFonts w:ascii="Palatino Linotype" w:hAnsi="Palatino Linotype" w:cstheme="minorHAnsi"/>
        </w:rPr>
        <w:t xml:space="preserve">APS </w:t>
      </w:r>
      <w:r>
        <w:rPr>
          <w:rFonts w:ascii="Palatino Linotype" w:hAnsi="Palatino Linotype" w:cstheme="minorHAnsi"/>
        </w:rPr>
        <w:t xml:space="preserve">also </w:t>
      </w:r>
      <w:r w:rsidRPr="00C611DE">
        <w:rPr>
          <w:rFonts w:ascii="Palatino Linotype" w:hAnsi="Palatino Linotype" w:cstheme="minorHAnsi"/>
        </w:rPr>
        <w:t xml:space="preserve">presented its proposal to </w:t>
      </w:r>
      <w:r>
        <w:rPr>
          <w:rFonts w:ascii="Palatino Linotype" w:hAnsi="Palatino Linotype" w:cstheme="minorHAnsi"/>
        </w:rPr>
        <w:t>remove</w:t>
      </w:r>
      <w:r w:rsidRPr="00C611DE">
        <w:rPr>
          <w:rFonts w:ascii="Palatino Linotype" w:hAnsi="Palatino Linotype" w:cstheme="minorHAnsi"/>
        </w:rPr>
        <w:t xml:space="preserve"> the paths </w:t>
      </w:r>
      <w:r>
        <w:rPr>
          <w:rFonts w:ascii="Palatino Linotype" w:hAnsi="Palatino Linotype" w:cstheme="minorHAnsi"/>
        </w:rPr>
        <w:t>from the</w:t>
      </w:r>
      <w:r w:rsidR="00C16143">
        <w:rPr>
          <w:rFonts w:ascii="Palatino Linotype" w:hAnsi="Palatino Linotype" w:cstheme="minorHAnsi"/>
        </w:rPr>
        <w:t xml:space="preserve"> </w:t>
      </w:r>
      <w:r w:rsidR="001B57D3">
        <w:rPr>
          <w:rFonts w:ascii="Palatino Linotype" w:hAnsi="Palatino Linotype" w:cstheme="minorHAnsi"/>
        </w:rPr>
        <w:t>c</w:t>
      </w:r>
      <w:r w:rsidR="001B57D3" w:rsidRPr="00C20D81">
        <w:rPr>
          <w:rFonts w:ascii="Palatino Linotype" w:hAnsi="Palatino Linotype" w:cstheme="minorHAnsi"/>
        </w:rPr>
        <w:t>atalog</w:t>
      </w:r>
      <w:r>
        <w:rPr>
          <w:rFonts w:ascii="Palatino Linotype" w:hAnsi="Palatino Linotype" w:cstheme="minorHAnsi"/>
        </w:rPr>
        <w:t xml:space="preserve"> </w:t>
      </w:r>
      <w:r w:rsidRPr="00C611DE">
        <w:rPr>
          <w:rFonts w:ascii="Palatino Linotype" w:hAnsi="Palatino Linotype" w:cstheme="minorHAnsi"/>
        </w:rPr>
        <w:t xml:space="preserve">to </w:t>
      </w:r>
      <w:r>
        <w:rPr>
          <w:rFonts w:ascii="Palatino Linotype" w:hAnsi="Palatino Linotype" w:cstheme="minorHAnsi"/>
        </w:rPr>
        <w:t xml:space="preserve">the </w:t>
      </w:r>
      <w:r w:rsidRPr="00C611DE">
        <w:rPr>
          <w:rFonts w:ascii="Palatino Linotype" w:hAnsi="Palatino Linotype" w:cstheme="minorHAnsi"/>
        </w:rPr>
        <w:t xml:space="preserve">WestConnect and WECC </w:t>
      </w:r>
      <w:r w:rsidR="00C16143">
        <w:rPr>
          <w:rFonts w:ascii="Palatino Linotype" w:hAnsi="Palatino Linotype" w:cstheme="minorHAnsi"/>
        </w:rPr>
        <w:t xml:space="preserve">Production Cost Model Development Work Group </w:t>
      </w:r>
      <w:r w:rsidRPr="00C611DE">
        <w:rPr>
          <w:rFonts w:ascii="Palatino Linotype" w:hAnsi="Palatino Linotype" w:cstheme="minorHAnsi"/>
        </w:rPr>
        <w:t>committees.</w:t>
      </w:r>
      <w:r w:rsidR="001B57D3">
        <w:rPr>
          <w:rFonts w:ascii="Palatino Linotype" w:hAnsi="Palatino Linotype" w:cstheme="minorHAnsi"/>
        </w:rPr>
        <w:t xml:space="preserve"> </w:t>
      </w:r>
      <w:r w:rsidRPr="00C611DE">
        <w:rPr>
          <w:rFonts w:ascii="Palatino Linotype" w:hAnsi="Palatino Linotype" w:cstheme="minorHAnsi"/>
        </w:rPr>
        <w:t>APS was able to satisfactorily answer all questions and written comments that it received from stakeholders</w:t>
      </w:r>
      <w:r>
        <w:rPr>
          <w:rFonts w:ascii="Palatino Linotype" w:hAnsi="Palatino Linotype" w:cstheme="minorHAnsi"/>
        </w:rPr>
        <w:t>.</w:t>
      </w:r>
      <w:r w:rsidR="001B57D3">
        <w:rPr>
          <w:rFonts w:ascii="Palatino Linotype" w:hAnsi="Palatino Linotype" w:cstheme="minorHAnsi"/>
        </w:rPr>
        <w:t xml:space="preserve"> </w:t>
      </w:r>
    </w:p>
    <w:p w14:paraId="46183F87" w14:textId="369B843D" w:rsidR="007F63D8" w:rsidRDefault="007F63D8" w:rsidP="007F63D8">
      <w:pPr>
        <w:rPr>
          <w:rFonts w:ascii="Palatino Linotype" w:hAnsi="Palatino Linotype"/>
        </w:rPr>
      </w:pPr>
      <w:r w:rsidRPr="00627252">
        <w:rPr>
          <w:rFonts w:ascii="Palatino Linotype" w:hAnsi="Palatino Linotype"/>
        </w:rPr>
        <w:t xml:space="preserve">To ensure due process and stakeholder inclusion, </w:t>
      </w:r>
      <w:r>
        <w:rPr>
          <w:rFonts w:ascii="Palatino Linotype" w:hAnsi="Palatino Linotype"/>
        </w:rPr>
        <w:t xml:space="preserve">APS </w:t>
      </w:r>
      <w:r w:rsidRPr="00627252">
        <w:rPr>
          <w:rFonts w:ascii="Palatino Linotype" w:hAnsi="Palatino Linotype"/>
        </w:rPr>
        <w:t xml:space="preserve">posted notification on the </w:t>
      </w:r>
      <w:r>
        <w:rPr>
          <w:rFonts w:ascii="Palatino Linotype" w:hAnsi="Palatino Linotype"/>
        </w:rPr>
        <w:t xml:space="preserve">APS </w:t>
      </w:r>
      <w:r w:rsidRPr="00627252">
        <w:rPr>
          <w:rFonts w:ascii="Palatino Linotype" w:hAnsi="Palatino Linotype"/>
        </w:rPr>
        <w:t xml:space="preserve">Open Access Same-time Information System (OATI) announcing the </w:t>
      </w:r>
      <w:r>
        <w:rPr>
          <w:rFonts w:ascii="Palatino Linotype" w:hAnsi="Palatino Linotype"/>
        </w:rPr>
        <w:t>proposed removal of the paths from the</w:t>
      </w:r>
      <w:r w:rsidR="00C16143">
        <w:rPr>
          <w:rFonts w:ascii="Palatino Linotype" w:hAnsi="Palatino Linotype"/>
        </w:rPr>
        <w:t xml:space="preserve"> </w:t>
      </w:r>
      <w:r w:rsidR="001B57D3">
        <w:rPr>
          <w:rFonts w:ascii="Palatino Linotype" w:hAnsi="Palatino Linotype" w:cstheme="minorHAnsi"/>
        </w:rPr>
        <w:t>c</w:t>
      </w:r>
      <w:r w:rsidR="001B57D3" w:rsidRPr="00C20D81">
        <w:rPr>
          <w:rFonts w:ascii="Palatino Linotype" w:hAnsi="Palatino Linotype" w:cstheme="minorHAnsi"/>
        </w:rPr>
        <w:t>atalog</w:t>
      </w:r>
      <w:r w:rsidR="00C16143">
        <w:rPr>
          <w:rFonts w:ascii="Palatino Linotype" w:hAnsi="Palatino Linotype"/>
        </w:rPr>
        <w:t xml:space="preserve"> </w:t>
      </w:r>
      <w:r>
        <w:rPr>
          <w:rFonts w:ascii="Palatino Linotype" w:hAnsi="Palatino Linotype"/>
        </w:rPr>
        <w:t>as well as a proposed effective date of January 1, 2020.</w:t>
      </w:r>
    </w:p>
    <w:p w14:paraId="2B49F616" w14:textId="3D7FF8A9" w:rsidR="00C16143" w:rsidRDefault="007F63D8" w:rsidP="007F63D8">
      <w:pPr>
        <w:rPr>
          <w:rFonts w:ascii="Palatino Linotype" w:hAnsi="Palatino Linotype"/>
        </w:rPr>
      </w:pPr>
      <w:r>
        <w:rPr>
          <w:rFonts w:ascii="Palatino Linotype" w:hAnsi="Palatino Linotype"/>
        </w:rPr>
        <w:t xml:space="preserve">After gaining industry consensus that the paths are no longer high profile for reliability as they do not serve the same purpose as they did at the time that Attachment B was developed, APS filed the </w:t>
      </w:r>
      <w:r w:rsidR="00C16143">
        <w:rPr>
          <w:rFonts w:ascii="Palatino Linotype" w:hAnsi="Palatino Linotype"/>
        </w:rPr>
        <w:t xml:space="preserve">WECC-0141 SAR to have the paths removed from </w:t>
      </w:r>
      <w:r>
        <w:rPr>
          <w:rFonts w:ascii="Palatino Linotype" w:hAnsi="Palatino Linotype"/>
        </w:rPr>
        <w:t>Attachment B</w:t>
      </w:r>
      <w:r w:rsidR="00C16143">
        <w:rPr>
          <w:rFonts w:ascii="Palatino Linotype" w:hAnsi="Palatino Linotype"/>
        </w:rPr>
        <w:t>, using the Procedures.</w:t>
      </w:r>
      <w:r w:rsidR="001B57D3">
        <w:rPr>
          <w:rFonts w:ascii="Palatino Linotype" w:hAnsi="Palatino Linotype"/>
        </w:rPr>
        <w:t xml:space="preserve"> </w:t>
      </w:r>
      <w:r w:rsidR="00C16143">
        <w:rPr>
          <w:rFonts w:ascii="Palatino Linotype" w:hAnsi="Palatino Linotype"/>
        </w:rPr>
        <w:t xml:space="preserve">It should be noted that currently there is no technical baseline for inclusion of assets on Attachment B nor is there any known criteria explaining why the list was created, circa 1997. </w:t>
      </w:r>
    </w:p>
    <w:p w14:paraId="4F726DE0" w14:textId="77777777" w:rsidR="007F63D8" w:rsidRPr="00BF1B07" w:rsidRDefault="007F63D8" w:rsidP="001B57D3">
      <w:pPr>
        <w:pStyle w:val="Heading1"/>
      </w:pPr>
      <w:bookmarkStart w:id="14" w:name="_Toc60911004"/>
      <w:r w:rsidRPr="00BF1B07">
        <w:t>Conclusion</w:t>
      </w:r>
      <w:bookmarkEnd w:id="14"/>
    </w:p>
    <w:p w14:paraId="73EE19F1" w14:textId="1C38DC65" w:rsidR="00972F63" w:rsidRDefault="009E6393" w:rsidP="007F63D8">
      <w:pPr>
        <w:rPr>
          <w:rFonts w:ascii="Palatino Linotype" w:hAnsi="Palatino Linotype"/>
        </w:rPr>
      </w:pPr>
      <w:r>
        <w:rPr>
          <w:rFonts w:ascii="Palatino Linotype" w:hAnsi="Palatino Linotype"/>
        </w:rPr>
        <w:t>Although APS’</w:t>
      </w:r>
      <w:r w:rsidR="002B609C">
        <w:rPr>
          <w:rFonts w:ascii="Palatino Linotype" w:hAnsi="Palatino Linotype"/>
        </w:rPr>
        <w:t>s</w:t>
      </w:r>
      <w:r>
        <w:rPr>
          <w:rFonts w:ascii="Palatino Linotype" w:hAnsi="Palatino Linotype"/>
        </w:rPr>
        <w:t xml:space="preserve"> actions were originally undertaken to remove Paths 22, 50, and 51 from the </w:t>
      </w:r>
      <w:r w:rsidR="001B57D3">
        <w:rPr>
          <w:rFonts w:ascii="Palatino Linotype" w:hAnsi="Palatino Linotype" w:cstheme="minorHAnsi"/>
        </w:rPr>
        <w:t>c</w:t>
      </w:r>
      <w:r w:rsidR="001B57D3" w:rsidRPr="00C20D81">
        <w:rPr>
          <w:rFonts w:ascii="Palatino Linotype" w:hAnsi="Palatino Linotype" w:cstheme="minorHAnsi"/>
        </w:rPr>
        <w:t>atalog</w:t>
      </w:r>
      <w:r>
        <w:rPr>
          <w:rFonts w:ascii="Palatino Linotype" w:hAnsi="Palatino Linotype"/>
        </w:rPr>
        <w:t>, the spirit and intent of those actions equates to the process proposed in Attachment C, Revision Process.</w:t>
      </w:r>
      <w:r w:rsidR="001B57D3">
        <w:rPr>
          <w:rFonts w:ascii="Palatino Linotype" w:hAnsi="Palatino Linotype"/>
        </w:rPr>
        <w:t xml:space="preserve"> </w:t>
      </w:r>
      <w:r>
        <w:rPr>
          <w:rFonts w:ascii="Palatino Linotype" w:hAnsi="Palatino Linotype"/>
        </w:rPr>
        <w:t>Having met the spirit and intent of the proposed Attachment C</w:t>
      </w:r>
      <w:r w:rsidR="00972F63">
        <w:rPr>
          <w:rFonts w:ascii="Palatino Linotype" w:hAnsi="Palatino Linotype"/>
        </w:rPr>
        <w:t>,</w:t>
      </w:r>
      <w:r>
        <w:rPr>
          <w:rFonts w:ascii="Palatino Linotype" w:hAnsi="Palatino Linotype"/>
        </w:rPr>
        <w:t xml:space="preserve"> Revision Process, if this project is approved, Paths 22, 50, and 51 will be removed from Attachment B.</w:t>
      </w:r>
      <w:r w:rsidR="001B57D3">
        <w:rPr>
          <w:rFonts w:ascii="Palatino Linotype" w:hAnsi="Palatino Linotype"/>
        </w:rPr>
        <w:t xml:space="preserve"> </w:t>
      </w:r>
      <w:r>
        <w:rPr>
          <w:rFonts w:ascii="Palatino Linotype" w:hAnsi="Palatino Linotype"/>
        </w:rPr>
        <w:t xml:space="preserve">Further, </w:t>
      </w:r>
      <w:r w:rsidR="00972F63">
        <w:rPr>
          <w:rFonts w:ascii="Palatino Linotype" w:hAnsi="Palatino Linotype"/>
        </w:rPr>
        <w:t xml:space="preserve">this project will create </w:t>
      </w:r>
      <w:r>
        <w:rPr>
          <w:rFonts w:ascii="Palatino Linotype" w:hAnsi="Palatino Linotype"/>
        </w:rPr>
        <w:t xml:space="preserve">a new baseline </w:t>
      </w:r>
      <w:r w:rsidR="00972F63">
        <w:rPr>
          <w:rFonts w:ascii="Palatino Linotype" w:hAnsi="Palatino Linotype"/>
        </w:rPr>
        <w:t xml:space="preserve">whereby assets are added to or removed from Attachment B, and create a streamlined process for those actions. </w:t>
      </w:r>
    </w:p>
    <w:p w14:paraId="10661E27" w14:textId="094577DB" w:rsidR="007F63D8" w:rsidRPr="0037776A" w:rsidRDefault="00C16143" w:rsidP="007F63D8">
      <w:pPr>
        <w:rPr>
          <w:rFonts w:ascii="Palatino Linotype" w:hAnsi="Palatino Linotype"/>
        </w:rPr>
      </w:pPr>
      <w:r>
        <w:rPr>
          <w:rFonts w:ascii="Palatino Linotype" w:hAnsi="Palatino Linotype"/>
        </w:rPr>
        <w:t xml:space="preserve">APS </w:t>
      </w:r>
      <w:r w:rsidR="007F63D8">
        <w:rPr>
          <w:rFonts w:ascii="Palatino Linotype" w:hAnsi="Palatino Linotype"/>
        </w:rPr>
        <w:t>has performed due diligence in examining the operational impact of removing Paths 22, 50, and 51 from Attachment B.</w:t>
      </w:r>
      <w:r w:rsidR="001B57D3">
        <w:rPr>
          <w:rFonts w:ascii="Palatino Linotype" w:hAnsi="Palatino Linotype"/>
        </w:rPr>
        <w:t xml:space="preserve"> </w:t>
      </w:r>
      <w:r w:rsidR="007F63D8">
        <w:rPr>
          <w:rFonts w:ascii="Palatino Linotype" w:hAnsi="Palatino Linotype"/>
        </w:rPr>
        <w:t>Finding neither a record explaining why the paths were first included in the attachment nor further reason to identify the paths for enhanced maintenance per Attachment A, APS has provided adequate evidence that Paths 22, 50, and 51 should be removed from FAC-501-WECC-2, Attachment B, and that in so doing, their removal will have no negative impact on reliability.</w:t>
      </w:r>
      <w:r w:rsidR="001B57D3">
        <w:rPr>
          <w:rFonts w:ascii="Palatino Linotype" w:hAnsi="Palatino Linotype"/>
        </w:rPr>
        <w:t xml:space="preserve"> </w:t>
      </w:r>
      <w:r>
        <w:rPr>
          <w:rFonts w:ascii="Palatino Linotype" w:hAnsi="Palatino Linotype"/>
        </w:rPr>
        <w:t xml:space="preserve">Further, </w:t>
      </w:r>
      <w:r w:rsidR="007F63D8">
        <w:rPr>
          <w:rFonts w:ascii="Palatino Linotype" w:hAnsi="Palatino Linotype"/>
        </w:rPr>
        <w:t xml:space="preserve">if the paths are removed from Attachment B, APS will continue to maintain its Transmission Lines and </w:t>
      </w:r>
      <w:r w:rsidR="007F63D8">
        <w:rPr>
          <w:rFonts w:ascii="Palatino Linotype" w:hAnsi="Palatino Linotype"/>
        </w:rPr>
        <w:lastRenderedPageBreak/>
        <w:t>Substation Facilities under APS’s existing inspection and maintenance programs.</w:t>
      </w:r>
      <w:r w:rsidR="001B57D3">
        <w:rPr>
          <w:rFonts w:ascii="Palatino Linotype" w:hAnsi="Palatino Linotype"/>
        </w:rPr>
        <w:t xml:space="preserve"> </w:t>
      </w:r>
      <w:r>
        <w:rPr>
          <w:rFonts w:ascii="Palatino Linotype" w:hAnsi="Palatino Linotype"/>
        </w:rPr>
        <w:t>Finally, i</w:t>
      </w:r>
      <w:r w:rsidR="00972F63">
        <w:rPr>
          <w:rFonts w:ascii="Palatino Linotype" w:hAnsi="Palatino Linotype"/>
        </w:rPr>
        <w:t>f</w:t>
      </w:r>
      <w:r>
        <w:rPr>
          <w:rFonts w:ascii="Palatino Linotype" w:hAnsi="Palatino Linotype"/>
        </w:rPr>
        <w:t xml:space="preserve"> approved</w:t>
      </w:r>
      <w:r w:rsidR="00117BEE">
        <w:rPr>
          <w:rFonts w:ascii="Palatino Linotype" w:hAnsi="Palatino Linotype"/>
        </w:rPr>
        <w:t>,</w:t>
      </w:r>
      <w:r>
        <w:rPr>
          <w:rFonts w:ascii="Palatino Linotype" w:hAnsi="Palatino Linotype"/>
        </w:rPr>
        <w:t xml:space="preserve"> this project will establish the technical baseline for including assets on Attachment B coupled with a streamlined process whereby changes can be approved via an informational filing with NERC and FERC.</w:t>
      </w:r>
      <w:r w:rsidR="001B57D3">
        <w:rPr>
          <w:rFonts w:ascii="Palatino Linotype" w:hAnsi="Palatino Linotype"/>
        </w:rPr>
        <w:t xml:space="preserve"> </w:t>
      </w:r>
    </w:p>
    <w:sectPr w:rsidR="007F63D8" w:rsidRPr="0037776A" w:rsidSect="00684847">
      <w:headerReference w:type="even" r:id="rId15"/>
      <w:headerReference w:type="default" r:id="rId16"/>
      <w:footerReference w:type="default" r:id="rId17"/>
      <w:head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832B3" w14:textId="77777777" w:rsidR="002F6188" w:rsidRDefault="002F6188" w:rsidP="00F82512">
      <w:pPr>
        <w:spacing w:line="240" w:lineRule="auto"/>
      </w:pPr>
      <w:r>
        <w:separator/>
      </w:r>
    </w:p>
    <w:p w14:paraId="1C3DB201" w14:textId="77777777" w:rsidR="002F6188" w:rsidRDefault="002F6188"/>
  </w:endnote>
  <w:endnote w:type="continuationSeparator" w:id="0">
    <w:p w14:paraId="6052A4F8" w14:textId="77777777" w:rsidR="002F6188" w:rsidRDefault="002F6188" w:rsidP="00F82512">
      <w:pPr>
        <w:spacing w:line="240" w:lineRule="auto"/>
      </w:pPr>
      <w:r>
        <w:continuationSeparator/>
      </w:r>
    </w:p>
    <w:p w14:paraId="5D8FBA2C" w14:textId="77777777" w:rsidR="002F6188" w:rsidRDefault="002F6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063625332"/>
      <w:docPartObj>
        <w:docPartGallery w:val="Page Numbers (Bottom of Page)"/>
        <w:docPartUnique/>
      </w:docPartObj>
    </w:sdtPr>
    <w:sdtEndPr/>
    <w:sdtContent>
      <w:p w14:paraId="2FD0192E" w14:textId="77777777" w:rsidR="00315CC3" w:rsidRPr="009D141F" w:rsidRDefault="00315CC3" w:rsidP="004D404D">
        <w:pPr>
          <w:pStyle w:val="Footer"/>
          <w:rPr>
            <w:b w:val="0"/>
          </w:rPr>
        </w:pPr>
        <w:r w:rsidRPr="009D141F">
          <w:rPr>
            <w:b w:val="0"/>
          </w:rPr>
          <w:drawing>
            <wp:inline distT="0" distB="0" distL="0" distR="0" wp14:anchorId="71172570" wp14:editId="2004407C">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Pr>
            <w:b w:val="0"/>
          </w:rPr>
          <w:t>6</w:t>
        </w:r>
        <w:r w:rsidRPr="009D141F">
          <w:rPr>
            <w:b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03D4D" w14:textId="77777777" w:rsidR="002F6188" w:rsidRDefault="002F6188" w:rsidP="00F82512">
      <w:pPr>
        <w:spacing w:line="240" w:lineRule="auto"/>
      </w:pPr>
      <w:r>
        <w:separator/>
      </w:r>
    </w:p>
  </w:footnote>
  <w:footnote w:type="continuationSeparator" w:id="0">
    <w:p w14:paraId="11DAD549" w14:textId="77777777" w:rsidR="002F6188" w:rsidRDefault="002F6188" w:rsidP="00F82512">
      <w:pPr>
        <w:spacing w:line="240" w:lineRule="auto"/>
      </w:pPr>
      <w:r>
        <w:continuationSeparator/>
      </w:r>
    </w:p>
    <w:p w14:paraId="13351EA0" w14:textId="77777777" w:rsidR="002F6188" w:rsidRDefault="002F6188"/>
  </w:footnote>
  <w:footnote w:id="1">
    <w:p w14:paraId="29F1A279" w14:textId="0099F00A" w:rsidR="001B57D3" w:rsidRPr="00B41A2F" w:rsidRDefault="001B57D3" w:rsidP="00B41A2F">
      <w:pPr>
        <w:pStyle w:val="FootnoteText"/>
      </w:pPr>
      <w:r w:rsidRPr="000336F8">
        <w:rPr>
          <w:rStyle w:val="FootnoteReference"/>
        </w:rPr>
        <w:footnoteRef/>
      </w:r>
      <w:r w:rsidRPr="000336F8">
        <w:t xml:space="preserve"> </w:t>
      </w:r>
      <w:r w:rsidRPr="00B41A2F">
        <w:t xml:space="preserve">The WECC Path Rating Catalog is a collection of information on path ratings in the WECC system. A path rating can be related to a single transmission line or a group of parallel transmission lines. The transfer path may be composed of transmission lines between Balancing Authorities, internal to a Balancing Authority, or a combination of both. WECC Path Rating Catalog, Introduction, page 1. </w:t>
      </w:r>
    </w:p>
  </w:footnote>
  <w:footnote w:id="2">
    <w:p w14:paraId="35F2BE6B" w14:textId="527B9AF1" w:rsidR="001B57D3" w:rsidRPr="00B41A2F" w:rsidRDefault="001B57D3" w:rsidP="00B41A2F">
      <w:pPr>
        <w:pStyle w:val="FootnoteText"/>
      </w:pPr>
      <w:r w:rsidRPr="0080230F">
        <w:rPr>
          <w:rStyle w:val="FootnoteReference"/>
          <w:vertAlign w:val="baseline"/>
        </w:rPr>
        <w:footnoteRef/>
      </w:r>
      <w:r w:rsidRPr="00B41A2F">
        <w:t xml:space="preserve"> Listed in Attachment B: 1) Path 22, Southwest Four Corners, 2) Path 50, Cholla–Pinnacle Peak, and 3) Path 51, Southern Navajo Transmission System.</w:t>
      </w:r>
    </w:p>
  </w:footnote>
  <w:footnote w:id="3">
    <w:p w14:paraId="6832E366" w14:textId="77777777" w:rsidR="00BE5C18" w:rsidRPr="0080230F" w:rsidRDefault="00BE5C18" w:rsidP="0080230F">
      <w:pPr>
        <w:pStyle w:val="FootnoteText"/>
      </w:pPr>
      <w:r w:rsidRPr="000336F8">
        <w:rPr>
          <w:rStyle w:val="FootnoteReference"/>
          <w:rFonts w:ascii="Palatino Linotype" w:hAnsi="Palatino Linotype"/>
        </w:rPr>
        <w:footnoteRef/>
      </w:r>
      <w:r w:rsidRPr="000336F8">
        <w:t xml:space="preserve"> WSCC is one of the three predecessor entities to WECC. The Western Electricity Coordinating Council (WECC) was formed on April 18, 2002, by the merger of the Western Systems Coordinating Council (WSCC), Southwest Regional Transmission Association (</w:t>
      </w:r>
      <w:r w:rsidRPr="0080230F">
        <w:t>SWRTA), and Western Regional Transmission Association (WRTA).</w:t>
      </w:r>
    </w:p>
  </w:footnote>
  <w:footnote w:id="4">
    <w:p w14:paraId="034AA3F0" w14:textId="55296EAC" w:rsidR="00BE5C18" w:rsidRPr="000336F8" w:rsidRDefault="00BE5C18" w:rsidP="0080230F">
      <w:pPr>
        <w:pStyle w:val="FootnoteText"/>
      </w:pPr>
      <w:r w:rsidRPr="0080230F">
        <w:rPr>
          <w:rStyle w:val="FootnoteReference"/>
          <w:vertAlign w:val="baseline"/>
        </w:rPr>
        <w:footnoteRef/>
      </w:r>
      <w:r w:rsidRPr="0080230F">
        <w:t xml:space="preserve"> MORC, Maintenance Coordination: 1. Sharing information. The security and reliability of the interconnected power system depends upon periodic inspection and adequate maintenance of generators, transmission lines and associated equipment, control equipment, communication equipment, relaying equipment</w:t>
      </w:r>
      <w:r w:rsidR="00566132" w:rsidRPr="0080230F">
        <w:t>,</w:t>
      </w:r>
      <w:r w:rsidRPr="0080230F">
        <w:t xml:space="preserve"> and other system facilities. Entities and coordinated groups of entities shall establish procedures and responsibility for disseminating information on scheduled out</w:t>
      </w:r>
      <w:r w:rsidRPr="000336F8">
        <w:t xml:space="preserve">ages and for coordinating scheduled outages of major facilities </w:t>
      </w:r>
      <w:r w:rsidR="00566132">
        <w:t>that</w:t>
      </w:r>
      <w:r w:rsidR="00566132" w:rsidRPr="000336F8">
        <w:t xml:space="preserve"> </w:t>
      </w:r>
      <w:r w:rsidRPr="000336F8">
        <w:t>affect the security and reliability of the interconnected power system.</w:t>
      </w:r>
    </w:p>
  </w:footnote>
  <w:footnote w:id="5">
    <w:p w14:paraId="617FE688" w14:textId="7BD485B0" w:rsidR="00BE5C18" w:rsidRPr="000336F8" w:rsidRDefault="00BE5C18" w:rsidP="0080230F">
      <w:pPr>
        <w:pStyle w:val="FootnoteText"/>
      </w:pPr>
      <w:r w:rsidRPr="000336F8">
        <w:rPr>
          <w:rStyle w:val="FootnoteReference"/>
          <w:rFonts w:ascii="Palatino Linotype" w:hAnsi="Palatino Linotype"/>
        </w:rPr>
        <w:footnoteRef/>
      </w:r>
      <w:r w:rsidRPr="000336F8">
        <w:t xml:space="preserve"> Following the enactment of EPAct 2005 and the establishment of mandatory Reliability Standards applicable to all owners, operators, and users of the BPS, WECC sought to translate certain of its existing practices under its RMS reliability criteria into regional Reliability Standards to supplement the continent-wide Reliability Standards the Commission approved in Order No. 693. To that end, WECC established a task force to identify criteria in the RMS that should be binding on all BPS users, owners, and operators in the Western Interconnection, not just the Transmission Operators subject to the RMS. The task force chose eight of the identified criteria, which had the highest priority and could be implemented in the near</w:t>
      </w:r>
      <w:r w:rsidR="00566132">
        <w:t>-</w:t>
      </w:r>
      <w:r w:rsidRPr="000336F8">
        <w:t>term for translation into regional Reliability Standards.</w:t>
      </w:r>
      <w:r w:rsidRPr="000336F8">
        <w:rPr>
          <w:bCs/>
        </w:rPr>
        <w:t xml:space="preserve"> United States of America Before the Federal Energy Regulatory Commission, North American Electric Reliability Corporation (NERC), Docket No. RM16-10-000, Supplemental Information for Petition of the NERC and WECC for Approval of retirement of Regional reliability Standard TOP-007-WECC-1a, page 5.</w:t>
      </w:r>
    </w:p>
  </w:footnote>
  <w:footnote w:id="6">
    <w:p w14:paraId="02BBE008" w14:textId="77777777" w:rsidR="00BE5C18" w:rsidRPr="000336F8" w:rsidRDefault="00BE5C18" w:rsidP="0080230F">
      <w:pPr>
        <w:pStyle w:val="FootnoteText"/>
      </w:pPr>
      <w:r w:rsidRPr="000336F8">
        <w:rPr>
          <w:rStyle w:val="FootnoteReference"/>
          <w:rFonts w:ascii="Palatino Linotype" w:hAnsi="Palatino Linotype"/>
        </w:rPr>
        <w:footnoteRef/>
      </w:r>
      <w:r w:rsidRPr="000336F8">
        <w:t xml:space="preserve"> Electric Reliability Corporation, Helping Owners, Operators, and Users of the Bulk Power System Assure Reliability and Security for More Than 50 Years, By David Nevius, Senior Vice President 1979–2012, Page 40-41.</w:t>
      </w:r>
    </w:p>
  </w:footnote>
  <w:footnote w:id="7">
    <w:p w14:paraId="7C8E373E" w14:textId="1ED73F07" w:rsidR="00BE5C18" w:rsidRPr="000336F8" w:rsidRDefault="00BE5C18" w:rsidP="00B41A2F">
      <w:pPr>
        <w:pStyle w:val="FootnoteText"/>
      </w:pPr>
      <w:r w:rsidRPr="000336F8">
        <w:rPr>
          <w:rStyle w:val="FootnoteReference"/>
        </w:rPr>
        <w:footnoteRef/>
      </w:r>
      <w:r w:rsidRPr="000336F8">
        <w:t xml:space="preserve"> “[D]ue to timing concerns, WECC submitted the first set of Regional Reliability Standards to NERC with very little modification from the RMS Agreements’ format.</w:t>
      </w:r>
      <w:r w:rsidR="001B57D3">
        <w:t xml:space="preserve"> </w:t>
      </w:r>
      <w:r w:rsidRPr="000336F8">
        <w:t>NERC filed the WECC Regional Reliability Standards with FERC on March 26, 2007.”</w:t>
      </w:r>
      <w:r w:rsidR="001B57D3">
        <w:t xml:space="preserve"> </w:t>
      </w:r>
      <w:r w:rsidRPr="000336F8">
        <w:t>WECC Statement of Activities and Accomplishments in Carrying Out Its Delegated Responsibilities for the Period January 1, 2007 through October 31, 2008. Page 4.</w:t>
      </w:r>
    </w:p>
  </w:footnote>
  <w:footnote w:id="8">
    <w:p w14:paraId="76EA4966" w14:textId="047AC420" w:rsidR="00BE5C18" w:rsidRPr="000336F8" w:rsidRDefault="00BE5C18" w:rsidP="0080230F">
      <w:pPr>
        <w:pStyle w:val="FootnoteText"/>
      </w:pPr>
      <w:r w:rsidRPr="000336F8">
        <w:rPr>
          <w:rStyle w:val="FootnoteReference"/>
          <w:rFonts w:ascii="Palatino Linotype" w:hAnsi="Palatino Linotype"/>
        </w:rPr>
        <w:footnoteRef/>
      </w:r>
      <w:r w:rsidRPr="000336F8">
        <w:t xml:space="preserve"> Within the RMS, the FAC Attachment B is referred to as Table 1, Existing WSCC Transfer Paths (BPTP) (Revised Table 1</w:t>
      </w:r>
      <w:r w:rsidR="000C7E11">
        <w:t>—</w:t>
      </w:r>
      <w:r w:rsidRPr="000336F8">
        <w:t>June 7, 2000), later updated as Table 4 in the 2000 RMS. Whereas the 2000 RMS Table 4 has 41 paths, the current FAC Attachment lists 40 paths.</w:t>
      </w:r>
      <w:r w:rsidR="001B57D3">
        <w:t xml:space="preserve"> </w:t>
      </w:r>
      <w:r w:rsidRPr="000336F8">
        <w:rPr>
          <w:rFonts w:eastAsia="Times New Roman"/>
          <w:color w:val="000000"/>
        </w:rPr>
        <w:t>Path 53, "Billings</w:t>
      </w:r>
      <w:r w:rsidR="000C7E11">
        <w:rPr>
          <w:rFonts w:eastAsia="Times New Roman"/>
          <w:color w:val="000000"/>
        </w:rPr>
        <w:t>–</w:t>
      </w:r>
      <w:r w:rsidRPr="000336F8">
        <w:rPr>
          <w:rFonts w:eastAsia="Times New Roman"/>
          <w:color w:val="000000"/>
        </w:rPr>
        <w:t>Yellowtail" (which consisted of the lines between Billings and Yellowtail) was replaced in 2006 or 2007 by Path 80, "Montana Southeast" (which consists of the lines between Billings</w:t>
      </w:r>
      <w:r w:rsidR="000C7E11">
        <w:rPr>
          <w:rFonts w:eastAsia="Times New Roman"/>
          <w:color w:val="000000"/>
        </w:rPr>
        <w:t>–</w:t>
      </w:r>
      <w:r w:rsidRPr="000336F8">
        <w:rPr>
          <w:rFonts w:eastAsia="Times New Roman"/>
          <w:color w:val="000000"/>
        </w:rPr>
        <w:t>Yellowtail and between Huntly Tap</w:t>
      </w:r>
      <w:r w:rsidR="000C7E11">
        <w:rPr>
          <w:rFonts w:eastAsia="Times New Roman"/>
          <w:color w:val="000000"/>
        </w:rPr>
        <w:t>–</w:t>
      </w:r>
      <w:r w:rsidRPr="000336F8">
        <w:rPr>
          <w:rFonts w:eastAsia="Times New Roman"/>
          <w:color w:val="000000"/>
        </w:rPr>
        <w:t>Hardin). Thus, there has been no substantive change to the Attachment B since June 7, 2000.</w:t>
      </w:r>
    </w:p>
  </w:footnote>
  <w:footnote w:id="9">
    <w:p w14:paraId="150EB2FC" w14:textId="465F2439" w:rsidR="00BE5C18" w:rsidRPr="000336F8" w:rsidRDefault="00BE5C18" w:rsidP="0080230F">
      <w:pPr>
        <w:pStyle w:val="FootnoteText"/>
      </w:pPr>
      <w:r w:rsidRPr="000336F8">
        <w:rPr>
          <w:rStyle w:val="FootnoteReference"/>
          <w:rFonts w:ascii="Palatino Linotype" w:hAnsi="Palatino Linotype"/>
        </w:rPr>
        <w:footnoteRef/>
      </w:r>
      <w:r w:rsidRPr="000336F8">
        <w:t xml:space="preserve"> Circa February 2000, final changes to the Attachment B/Table list were made as part of the RMS Phase Two review.</w:t>
      </w:r>
      <w:r w:rsidR="001B57D3">
        <w:t xml:space="preserve"> </w:t>
      </w:r>
      <w:r w:rsidRPr="000336F8">
        <w:t>“Additions to Table 1 are Path 41</w:t>
      </w:r>
      <w:r w:rsidR="000C7E11">
        <w:t>–</w:t>
      </w:r>
      <w:r w:rsidRPr="000336F8">
        <w:t>Sylmar LDWP to Sylmar SCE, Path 55</w:t>
      </w:r>
      <w:r w:rsidR="000C7E11">
        <w:t>–</w:t>
      </w:r>
      <w:r w:rsidRPr="000336F8">
        <w:t>Brownlee East, Path 61</w:t>
      </w:r>
      <w:r w:rsidR="001B57D3">
        <w:t xml:space="preserve"> </w:t>
      </w:r>
      <w:r w:rsidRPr="000336F8">
        <w:t>Lugo</w:t>
      </w:r>
      <w:r w:rsidR="000C7E11">
        <w:t>–</w:t>
      </w:r>
      <w:r w:rsidRPr="000336F8">
        <w:t>Victorville 500 kV, and Path 76</w:t>
      </w:r>
      <w:r w:rsidR="000C7E11">
        <w:t>–</w:t>
      </w:r>
      <w:r w:rsidRPr="000336F8">
        <w:t>Alturas. Reference to TOT 2 was removed from Table 1 since TOT 2A, TOT 2B, and TOT 2C are included and cover the entire path. CPTF reviewed Table 3 to ensure that all RAS were included that could potentially affect one of the major transmission paths or the RAS failure has the potential to result in cascading. Additions to Table 3 are Path 30</w:t>
      </w:r>
      <w:r w:rsidR="000C7E11">
        <w:t>–</w:t>
      </w:r>
      <w:r w:rsidRPr="000336F8">
        <w:t>TOTIA, Path 31</w:t>
      </w:r>
      <w:r w:rsidR="000C7E11">
        <w:t>–</w:t>
      </w:r>
      <w:r w:rsidRPr="000336F8">
        <w:t xml:space="preserve"> TOT2A, Path 34 TOT2B, Path 39</w:t>
      </w:r>
      <w:r w:rsidR="000C7E11">
        <w:t>–</w:t>
      </w:r>
      <w:r w:rsidRPr="000336F8">
        <w:t>TOTS, Path 16</w:t>
      </w:r>
      <w:r w:rsidR="000C7E11">
        <w:t>–</w:t>
      </w:r>
      <w:r w:rsidRPr="000336F8">
        <w:t>Idaho</w:t>
      </w:r>
      <w:r w:rsidR="000C7E11">
        <w:t>–</w:t>
      </w:r>
      <w:r w:rsidRPr="000336F8">
        <w:t>Sierra, Path 45</w:t>
      </w:r>
      <w:r w:rsidR="000C7E11">
        <w:t>–</w:t>
      </w:r>
      <w:r w:rsidRPr="000336F8">
        <w:t>SDGE</w:t>
      </w:r>
      <w:r w:rsidR="000C7E11">
        <w:t>–</w:t>
      </w:r>
      <w:r w:rsidRPr="000336F8">
        <w:t xml:space="preserve">CFE, Meridian 500/230 kV transformers, and SDGE RAS. A revised list of transmission paths and RAS are included in Tables 4 and 5 (see pages 35 and 36).” WSCC Analysis of RMS Phase 2 Evaluation Period, September 1998 through February 2000, page 6. </w:t>
      </w:r>
    </w:p>
  </w:footnote>
  <w:footnote w:id="10">
    <w:p w14:paraId="6FF53ACC" w14:textId="77777777" w:rsidR="00BE5C18" w:rsidRPr="000336F8" w:rsidRDefault="00BE5C18" w:rsidP="0080230F">
      <w:pPr>
        <w:pStyle w:val="FootnoteText"/>
      </w:pPr>
      <w:r w:rsidRPr="000336F8">
        <w:rPr>
          <w:rStyle w:val="FootnoteReference"/>
          <w:rFonts w:ascii="Palatino Linotype" w:hAnsi="Palatino Linotype"/>
        </w:rPr>
        <w:footnoteRef/>
      </w:r>
      <w:r w:rsidRPr="000336F8">
        <w:t xml:space="preserve"> Later versions update the phrase to “Reliability Coordinator.” </w:t>
      </w:r>
    </w:p>
  </w:footnote>
  <w:footnote w:id="11">
    <w:p w14:paraId="2DDD885D" w14:textId="5379090E" w:rsidR="00BE5C18" w:rsidRPr="000336F8" w:rsidRDefault="00BE5C18" w:rsidP="0080230F">
      <w:pPr>
        <w:pStyle w:val="FootnoteText"/>
      </w:pPr>
      <w:r w:rsidRPr="000336F8">
        <w:rPr>
          <w:rStyle w:val="FootnoteReference"/>
          <w:rFonts w:ascii="Palatino Linotype" w:hAnsi="Palatino Linotype"/>
        </w:rPr>
        <w:footnoteRef/>
      </w:r>
      <w:r w:rsidRPr="000336F8">
        <w:t xml:space="preserve"> During the course of developing the RMS criteria, the identified transfer paths and RAS were organized into the Tables by the WSCC task force. The Tables were posted for, and revised through, public comment. The Tables were also evaluated and revised through field tests during the RMS reliability criteria development process. The resulting tables were later named the “Major WECC Transfer Paths in the Bulk Electric System Table” and the “Major WECC Remedial Action Schemes (RAS) Table.”</w:t>
      </w:r>
      <w:r w:rsidR="001B57D3">
        <w:t xml:space="preserve"> </w:t>
      </w:r>
    </w:p>
  </w:footnote>
  <w:footnote w:id="12">
    <w:p w14:paraId="26C53320" w14:textId="77777777" w:rsidR="00BE5C18" w:rsidRPr="000336F8" w:rsidRDefault="00BE5C18" w:rsidP="00BE5C18">
      <w:pPr>
        <w:pStyle w:val="FootnoteText"/>
      </w:pPr>
      <w:r w:rsidRPr="000336F8">
        <w:rPr>
          <w:rStyle w:val="FootnoteReference"/>
        </w:rPr>
        <w:footnoteRef/>
      </w:r>
      <w:r w:rsidRPr="000336F8">
        <w:t xml:space="preserve"> “Specifically, according to NERC, FAC-501-WECC-1 requires, for specified transmission paths, a highly detailed maintenance and inspection plan for all transmission and substation equipment components, beyond the relay and communication system maintenance and testing required by the corresponding NERC Reliability Standard.” FERC Order 751, P.15.</w:t>
      </w:r>
    </w:p>
  </w:footnote>
  <w:footnote w:id="13">
    <w:p w14:paraId="76471635" w14:textId="440952D7" w:rsidR="00BE5C18" w:rsidRPr="000336F8" w:rsidRDefault="00BE5C18" w:rsidP="0080230F">
      <w:pPr>
        <w:spacing w:before="120" w:line="240" w:lineRule="auto"/>
        <w:contextualSpacing/>
        <w:rPr>
          <w:sz w:val="20"/>
          <w:szCs w:val="20"/>
        </w:rPr>
      </w:pPr>
      <w:r w:rsidRPr="000336F8">
        <w:rPr>
          <w:rStyle w:val="FootnoteReference"/>
          <w:sz w:val="20"/>
          <w:szCs w:val="20"/>
        </w:rPr>
        <w:footnoteRef/>
      </w:r>
      <w:r w:rsidRPr="000336F8">
        <w:rPr>
          <w:sz w:val="20"/>
          <w:szCs w:val="20"/>
        </w:rPr>
        <w:t xml:space="preserve"> </w:t>
      </w:r>
      <w:r w:rsidRPr="0080230F">
        <w:rPr>
          <w:rStyle w:val="FootnoteTextChar"/>
        </w:rPr>
        <w:t>FERC Order 751, P18. WECC Transfer Path Table, P18.</w:t>
      </w:r>
      <w:r w:rsidR="001B57D3" w:rsidRPr="0080230F">
        <w:rPr>
          <w:rStyle w:val="FootnoteTextChar"/>
        </w:rPr>
        <w:t xml:space="preserve"> </w:t>
      </w:r>
      <w:r w:rsidR="00D75B9B" w:rsidRPr="0080230F">
        <w:rPr>
          <w:rStyle w:val="FootnoteTextChar"/>
        </w:rPr>
        <w:t>In response, WECC committed to publicly post any revisions to the WECC Transfer Path Table on the WECC website with concurrent notification to the Commission, NERC, and industry.</w:t>
      </w:r>
    </w:p>
  </w:footnote>
  <w:footnote w:id="14">
    <w:p w14:paraId="202BE950" w14:textId="77777777" w:rsidR="00BE5C18" w:rsidRPr="000336F8" w:rsidRDefault="00BE5C18" w:rsidP="00B41A2F">
      <w:pPr>
        <w:pStyle w:val="FootnoteText"/>
      </w:pPr>
      <w:r w:rsidRPr="000336F8">
        <w:rPr>
          <w:rStyle w:val="FootnoteReference"/>
        </w:rPr>
        <w:footnoteRef/>
      </w:r>
      <w:r w:rsidRPr="000336F8">
        <w:t xml:space="preserve"> “WECC could include </w:t>
      </w:r>
      <w:r w:rsidRPr="00B41A2F">
        <w:t>its</w:t>
      </w:r>
      <w:r w:rsidRPr="000336F8">
        <w:t xml:space="preserve"> criterion for identifying and modifying major transmission paths listed in the WECC Transfer Path Table and make an informational filing each time it makes a modification to the table. Another option would be for </w:t>
      </w:r>
      <w:r w:rsidRPr="00B41A2F">
        <w:t>WECC</w:t>
      </w:r>
      <w:r w:rsidRPr="000336F8">
        <w:t xml:space="preserve"> to file its criterion with the Commission and post revised transfer path tables and referenced catalogs on its website before they become effective with concurrent notification to NERC and the Commission. Alternatively, the Regional Entity could include the WECC Transfer Path Table as an attachment to the modified Reliability Standard. In this way, the Commission would be able to verify that the Regional Entity is applying the requirements of the regional Reliability Standard in a just and reasonable manner.” FERC Order 751, P19.</w:t>
      </w:r>
    </w:p>
  </w:footnote>
  <w:footnote w:id="15">
    <w:p w14:paraId="4FA277DB" w14:textId="244277FD" w:rsidR="00C46DE7" w:rsidRPr="000336F8" w:rsidRDefault="00C46DE7" w:rsidP="00C46DE7">
      <w:pPr>
        <w:pStyle w:val="FootnoteText"/>
      </w:pPr>
      <w:r w:rsidRPr="000336F8">
        <w:rPr>
          <w:rStyle w:val="FootnoteReference"/>
        </w:rPr>
        <w:footnoteRef/>
      </w:r>
      <w:r w:rsidRPr="000336F8">
        <w:t xml:space="preserve"> The WECC Path Rating Catalog is intended to be: 1) a reference document for planning purposes, 2) a primary source of currently available information on maximum, non-simultaneous path ratings to Members, and 3) a resource for discussion of simultaneous interactions between major transmission paths.</w:t>
      </w:r>
      <w:r w:rsidR="001B57D3">
        <w:t xml:space="preserve"> </w:t>
      </w:r>
      <w:r w:rsidRPr="000336F8">
        <w:t>WECC Path Rating Catalog 2020, Purpose, pages 1-2.</w:t>
      </w:r>
    </w:p>
    <w:p w14:paraId="26DCE593" w14:textId="77777777" w:rsidR="00C46DE7" w:rsidRPr="000336F8" w:rsidRDefault="00C46DE7">
      <w:pPr>
        <w:pStyle w:val="FootnoteText"/>
      </w:pPr>
    </w:p>
  </w:footnote>
  <w:footnote w:id="16">
    <w:p w14:paraId="03600A27" w14:textId="77777777" w:rsidR="007F63D8" w:rsidRPr="000336F8" w:rsidRDefault="007F63D8" w:rsidP="007F63D8">
      <w:pPr>
        <w:spacing w:before="100" w:beforeAutospacing="1" w:after="100" w:afterAutospacing="1" w:line="240" w:lineRule="auto"/>
        <w:contextualSpacing/>
        <w:rPr>
          <w:rFonts w:ascii="Palatino Linotype" w:hAnsi="Palatino Linotype"/>
          <w:sz w:val="20"/>
          <w:szCs w:val="20"/>
        </w:rPr>
      </w:pPr>
      <w:r w:rsidRPr="000336F8">
        <w:rPr>
          <w:rStyle w:val="FootnoteReference"/>
          <w:sz w:val="20"/>
          <w:szCs w:val="20"/>
        </w:rPr>
        <w:footnoteRef/>
      </w:r>
      <w:r w:rsidRPr="000336F8">
        <w:rPr>
          <w:sz w:val="20"/>
          <w:szCs w:val="20"/>
        </w:rPr>
        <w:t xml:space="preserve"> </w:t>
      </w:r>
      <w:r w:rsidRPr="000336F8">
        <w:rPr>
          <w:rFonts w:ascii="Palatino Linotype" w:hAnsi="Palatino Linotype"/>
          <w:sz w:val="20"/>
          <w:szCs w:val="20"/>
        </w:rPr>
        <w:t>Cholla consisted of the following units:</w:t>
      </w:r>
    </w:p>
    <w:tbl>
      <w:tblPr>
        <w:tblStyle w:val="WECCTable"/>
        <w:tblW w:w="10252" w:type="dxa"/>
        <w:tblLook w:val="0620" w:firstRow="1" w:lastRow="0" w:firstColumn="0" w:lastColumn="0" w:noHBand="1" w:noVBand="1"/>
      </w:tblPr>
      <w:tblGrid>
        <w:gridCol w:w="641"/>
        <w:gridCol w:w="2903"/>
        <w:gridCol w:w="2211"/>
        <w:gridCol w:w="4497"/>
      </w:tblGrid>
      <w:tr w:rsidR="007F63D8" w:rsidRPr="000336F8" w14:paraId="23B22683" w14:textId="77777777" w:rsidTr="00BF1B07">
        <w:trPr>
          <w:cnfStyle w:val="100000000000" w:firstRow="1" w:lastRow="0" w:firstColumn="0" w:lastColumn="0" w:oddVBand="0" w:evenVBand="0" w:oddHBand="0" w:evenHBand="0" w:firstRowFirstColumn="0" w:firstRowLastColumn="0" w:lastRowFirstColumn="0" w:lastRowLastColumn="0"/>
          <w:trHeight w:val="323"/>
        </w:trPr>
        <w:tc>
          <w:tcPr>
            <w:tcW w:w="0" w:type="auto"/>
            <w:hideMark/>
          </w:tcPr>
          <w:p w14:paraId="1672342A" w14:textId="77777777" w:rsidR="007F63D8" w:rsidRPr="00BF1B07" w:rsidRDefault="007F63D8" w:rsidP="007F63D8">
            <w:pPr>
              <w:spacing w:before="100" w:beforeAutospacing="1" w:after="100" w:afterAutospacing="1" w:line="240" w:lineRule="auto"/>
              <w:contextualSpacing/>
              <w:jc w:val="center"/>
              <w:rPr>
                <w:rFonts w:asciiTheme="majorHAnsi" w:hAnsiTheme="majorHAnsi"/>
                <w:b w:val="0"/>
                <w:bCs w:val="0"/>
                <w:sz w:val="20"/>
                <w:szCs w:val="20"/>
              </w:rPr>
            </w:pPr>
            <w:r w:rsidRPr="00BF1B07">
              <w:rPr>
                <w:rFonts w:asciiTheme="majorHAnsi" w:hAnsiTheme="majorHAnsi"/>
                <w:sz w:val="20"/>
                <w:szCs w:val="20"/>
              </w:rPr>
              <w:t>Unit</w:t>
            </w:r>
          </w:p>
        </w:tc>
        <w:tc>
          <w:tcPr>
            <w:tcW w:w="2903" w:type="dxa"/>
            <w:hideMark/>
          </w:tcPr>
          <w:p w14:paraId="3647F95D" w14:textId="77777777" w:rsidR="007F63D8" w:rsidRPr="00BF1B07" w:rsidRDefault="007F63D8" w:rsidP="007F63D8">
            <w:pPr>
              <w:spacing w:before="100" w:beforeAutospacing="1" w:after="100" w:afterAutospacing="1" w:line="240" w:lineRule="auto"/>
              <w:contextualSpacing/>
              <w:rPr>
                <w:rFonts w:asciiTheme="majorHAnsi" w:hAnsiTheme="majorHAnsi"/>
                <w:b w:val="0"/>
                <w:bCs w:val="0"/>
                <w:sz w:val="20"/>
                <w:szCs w:val="20"/>
              </w:rPr>
            </w:pPr>
            <w:r w:rsidRPr="00BF1B07">
              <w:rPr>
                <w:rFonts w:asciiTheme="majorHAnsi" w:hAnsiTheme="majorHAnsi"/>
                <w:sz w:val="20"/>
                <w:szCs w:val="20"/>
              </w:rPr>
              <w:t>Nameplate capacity (</w:t>
            </w:r>
            <w:hyperlink r:id="rId1" w:history="1">
              <w:r w:rsidRPr="00BF1B07">
                <w:rPr>
                  <w:rStyle w:val="Hyperlink"/>
                  <w:rFonts w:asciiTheme="majorHAnsi" w:hAnsiTheme="majorHAnsi"/>
                  <w:color w:val="FFFFFF" w:themeColor="background1"/>
                  <w:sz w:val="20"/>
                  <w:szCs w:val="20"/>
                </w:rPr>
                <w:t>MW</w:t>
              </w:r>
            </w:hyperlink>
            <w:r w:rsidRPr="00BF1B07">
              <w:rPr>
                <w:rFonts w:asciiTheme="majorHAnsi" w:hAnsiTheme="majorHAnsi"/>
                <w:sz w:val="20"/>
                <w:szCs w:val="20"/>
              </w:rPr>
              <w:t>)</w:t>
            </w:r>
          </w:p>
        </w:tc>
        <w:tc>
          <w:tcPr>
            <w:tcW w:w="2211" w:type="dxa"/>
            <w:hideMark/>
          </w:tcPr>
          <w:p w14:paraId="023630EB" w14:textId="77777777" w:rsidR="007F63D8" w:rsidRPr="00BF1B07" w:rsidRDefault="007F63D8" w:rsidP="007F63D8">
            <w:pPr>
              <w:spacing w:before="100" w:beforeAutospacing="1" w:after="100" w:afterAutospacing="1" w:line="240" w:lineRule="auto"/>
              <w:contextualSpacing/>
              <w:rPr>
                <w:rFonts w:asciiTheme="majorHAnsi" w:hAnsiTheme="majorHAnsi"/>
                <w:b w:val="0"/>
                <w:bCs w:val="0"/>
                <w:sz w:val="20"/>
                <w:szCs w:val="20"/>
              </w:rPr>
            </w:pPr>
            <w:r w:rsidRPr="00BF1B07">
              <w:rPr>
                <w:rFonts w:asciiTheme="majorHAnsi" w:hAnsiTheme="majorHAnsi"/>
                <w:sz w:val="20"/>
                <w:szCs w:val="20"/>
              </w:rPr>
              <w:t>Commissioning</w:t>
            </w:r>
          </w:p>
        </w:tc>
        <w:tc>
          <w:tcPr>
            <w:tcW w:w="4497" w:type="dxa"/>
            <w:hideMark/>
          </w:tcPr>
          <w:p w14:paraId="73FF4976" w14:textId="77777777" w:rsidR="007F63D8" w:rsidRPr="00BF1B07" w:rsidRDefault="007F63D8" w:rsidP="007F63D8">
            <w:pPr>
              <w:spacing w:before="100" w:beforeAutospacing="1" w:after="100" w:afterAutospacing="1" w:line="240" w:lineRule="auto"/>
              <w:contextualSpacing/>
              <w:rPr>
                <w:rFonts w:asciiTheme="majorHAnsi" w:hAnsiTheme="majorHAnsi"/>
                <w:b w:val="0"/>
                <w:bCs w:val="0"/>
                <w:sz w:val="20"/>
                <w:szCs w:val="20"/>
              </w:rPr>
            </w:pPr>
            <w:r w:rsidRPr="00BF1B07">
              <w:rPr>
                <w:rFonts w:asciiTheme="majorHAnsi" w:hAnsiTheme="majorHAnsi"/>
                <w:sz w:val="20"/>
                <w:szCs w:val="20"/>
              </w:rPr>
              <w:t>Notes</w:t>
            </w:r>
          </w:p>
        </w:tc>
      </w:tr>
      <w:tr w:rsidR="007F63D8" w:rsidRPr="000336F8" w14:paraId="07053142" w14:textId="77777777" w:rsidTr="00BF1B07">
        <w:tc>
          <w:tcPr>
            <w:tcW w:w="0" w:type="auto"/>
            <w:hideMark/>
          </w:tcPr>
          <w:p w14:paraId="047C36B3" w14:textId="77777777" w:rsidR="007F63D8" w:rsidRPr="000336F8" w:rsidRDefault="007F63D8" w:rsidP="007F63D8">
            <w:pPr>
              <w:spacing w:before="100" w:beforeAutospacing="1" w:after="100" w:afterAutospacing="1" w:line="240" w:lineRule="auto"/>
              <w:contextualSpacing/>
              <w:jc w:val="center"/>
              <w:rPr>
                <w:rFonts w:ascii="Palatino Linotype" w:hAnsi="Palatino Linotype"/>
                <w:sz w:val="20"/>
                <w:szCs w:val="20"/>
              </w:rPr>
            </w:pPr>
            <w:r w:rsidRPr="000336F8">
              <w:rPr>
                <w:rFonts w:ascii="Palatino Linotype" w:hAnsi="Palatino Linotype"/>
                <w:sz w:val="20"/>
                <w:szCs w:val="20"/>
              </w:rPr>
              <w:t>1</w:t>
            </w:r>
          </w:p>
        </w:tc>
        <w:tc>
          <w:tcPr>
            <w:tcW w:w="2903" w:type="dxa"/>
            <w:hideMark/>
          </w:tcPr>
          <w:p w14:paraId="2C4B32F7" w14:textId="77777777" w:rsidR="007F63D8" w:rsidRPr="000336F8" w:rsidRDefault="007F63D8" w:rsidP="007F63D8">
            <w:pPr>
              <w:spacing w:before="100" w:beforeAutospacing="1" w:after="100" w:afterAutospacing="1" w:line="240" w:lineRule="auto"/>
              <w:contextualSpacing/>
              <w:jc w:val="center"/>
              <w:rPr>
                <w:rFonts w:ascii="Palatino Linotype" w:hAnsi="Palatino Linotype"/>
                <w:sz w:val="20"/>
                <w:szCs w:val="20"/>
              </w:rPr>
            </w:pPr>
            <w:r w:rsidRPr="000336F8">
              <w:rPr>
                <w:rFonts w:ascii="Palatino Linotype" w:hAnsi="Palatino Linotype"/>
                <w:sz w:val="20"/>
                <w:szCs w:val="20"/>
              </w:rPr>
              <w:t>113.6</w:t>
            </w:r>
          </w:p>
        </w:tc>
        <w:tc>
          <w:tcPr>
            <w:tcW w:w="2211" w:type="dxa"/>
            <w:hideMark/>
          </w:tcPr>
          <w:p w14:paraId="5BEF0193" w14:textId="77777777" w:rsidR="007F63D8" w:rsidRPr="000336F8" w:rsidRDefault="007F63D8" w:rsidP="007F63D8">
            <w:pPr>
              <w:spacing w:before="100" w:beforeAutospacing="1" w:after="100" w:afterAutospacing="1" w:line="240" w:lineRule="auto"/>
              <w:contextualSpacing/>
              <w:jc w:val="center"/>
              <w:rPr>
                <w:rFonts w:ascii="Palatino Linotype" w:hAnsi="Palatino Linotype"/>
                <w:sz w:val="20"/>
                <w:szCs w:val="20"/>
              </w:rPr>
            </w:pPr>
            <w:r w:rsidRPr="000336F8">
              <w:rPr>
                <w:rFonts w:ascii="Palatino Linotype" w:hAnsi="Palatino Linotype"/>
                <w:sz w:val="20"/>
                <w:szCs w:val="20"/>
              </w:rPr>
              <w:t>1962</w:t>
            </w:r>
          </w:p>
        </w:tc>
        <w:tc>
          <w:tcPr>
            <w:tcW w:w="4497" w:type="dxa"/>
            <w:hideMark/>
          </w:tcPr>
          <w:p w14:paraId="7B1C480E" w14:textId="77777777" w:rsidR="007F63D8" w:rsidRPr="000336F8" w:rsidRDefault="007F63D8" w:rsidP="007F63D8">
            <w:pPr>
              <w:spacing w:before="100" w:beforeAutospacing="1" w:after="100" w:afterAutospacing="1" w:line="240" w:lineRule="auto"/>
              <w:contextualSpacing/>
              <w:rPr>
                <w:rFonts w:ascii="Palatino Linotype" w:hAnsi="Palatino Linotype"/>
                <w:sz w:val="20"/>
                <w:szCs w:val="20"/>
              </w:rPr>
            </w:pPr>
            <w:r w:rsidRPr="000336F8">
              <w:rPr>
                <w:rFonts w:ascii="Palatino Linotype" w:hAnsi="Palatino Linotype"/>
                <w:sz w:val="20"/>
                <w:szCs w:val="20"/>
              </w:rPr>
              <w:t>Retirement scheduled for 2025</w:t>
            </w:r>
          </w:p>
        </w:tc>
      </w:tr>
      <w:tr w:rsidR="007F63D8" w:rsidRPr="000336F8" w14:paraId="649CA7E7" w14:textId="77777777" w:rsidTr="00BF1B07">
        <w:tc>
          <w:tcPr>
            <w:tcW w:w="0" w:type="auto"/>
            <w:hideMark/>
          </w:tcPr>
          <w:p w14:paraId="6D3F614E" w14:textId="77777777" w:rsidR="007F63D8" w:rsidRPr="000336F8" w:rsidRDefault="007F63D8" w:rsidP="007F63D8">
            <w:pPr>
              <w:spacing w:before="100" w:beforeAutospacing="1" w:after="100" w:afterAutospacing="1" w:line="240" w:lineRule="auto"/>
              <w:contextualSpacing/>
              <w:jc w:val="center"/>
              <w:rPr>
                <w:rFonts w:ascii="Palatino Linotype" w:hAnsi="Palatino Linotype"/>
                <w:sz w:val="20"/>
                <w:szCs w:val="20"/>
              </w:rPr>
            </w:pPr>
            <w:r w:rsidRPr="000336F8">
              <w:rPr>
                <w:rFonts w:ascii="Palatino Linotype" w:hAnsi="Palatino Linotype"/>
                <w:sz w:val="20"/>
                <w:szCs w:val="20"/>
              </w:rPr>
              <w:t>2</w:t>
            </w:r>
          </w:p>
        </w:tc>
        <w:tc>
          <w:tcPr>
            <w:tcW w:w="2903" w:type="dxa"/>
            <w:hideMark/>
          </w:tcPr>
          <w:p w14:paraId="3384CD3F" w14:textId="77777777" w:rsidR="007F63D8" w:rsidRPr="000336F8" w:rsidRDefault="007F63D8" w:rsidP="007F63D8">
            <w:pPr>
              <w:spacing w:before="100" w:beforeAutospacing="1" w:after="100" w:afterAutospacing="1" w:line="240" w:lineRule="auto"/>
              <w:contextualSpacing/>
              <w:jc w:val="center"/>
              <w:rPr>
                <w:rFonts w:ascii="Palatino Linotype" w:hAnsi="Palatino Linotype"/>
                <w:sz w:val="20"/>
                <w:szCs w:val="20"/>
              </w:rPr>
            </w:pPr>
            <w:r w:rsidRPr="000336F8">
              <w:rPr>
                <w:rFonts w:ascii="Palatino Linotype" w:hAnsi="Palatino Linotype"/>
                <w:sz w:val="20"/>
                <w:szCs w:val="20"/>
              </w:rPr>
              <w:t>288.9</w:t>
            </w:r>
          </w:p>
        </w:tc>
        <w:tc>
          <w:tcPr>
            <w:tcW w:w="2211" w:type="dxa"/>
            <w:hideMark/>
          </w:tcPr>
          <w:p w14:paraId="08C2B08C" w14:textId="77777777" w:rsidR="007F63D8" w:rsidRPr="000336F8" w:rsidRDefault="007F63D8" w:rsidP="007F63D8">
            <w:pPr>
              <w:spacing w:before="100" w:beforeAutospacing="1" w:after="100" w:afterAutospacing="1" w:line="240" w:lineRule="auto"/>
              <w:contextualSpacing/>
              <w:jc w:val="center"/>
              <w:rPr>
                <w:rFonts w:ascii="Palatino Linotype" w:hAnsi="Palatino Linotype"/>
                <w:sz w:val="20"/>
                <w:szCs w:val="20"/>
              </w:rPr>
            </w:pPr>
            <w:r w:rsidRPr="000336F8">
              <w:rPr>
                <w:rFonts w:ascii="Palatino Linotype" w:hAnsi="Palatino Linotype"/>
                <w:sz w:val="20"/>
                <w:szCs w:val="20"/>
              </w:rPr>
              <w:t>1978</w:t>
            </w:r>
          </w:p>
        </w:tc>
        <w:tc>
          <w:tcPr>
            <w:tcW w:w="4497" w:type="dxa"/>
            <w:hideMark/>
          </w:tcPr>
          <w:p w14:paraId="2FFBA95A" w14:textId="77777777" w:rsidR="007F63D8" w:rsidRPr="000336F8" w:rsidRDefault="007F63D8" w:rsidP="007F63D8">
            <w:pPr>
              <w:spacing w:before="100" w:beforeAutospacing="1" w:after="100" w:afterAutospacing="1" w:line="240" w:lineRule="auto"/>
              <w:contextualSpacing/>
              <w:rPr>
                <w:rFonts w:ascii="Palatino Linotype" w:hAnsi="Palatino Linotype"/>
                <w:sz w:val="20"/>
                <w:szCs w:val="20"/>
              </w:rPr>
            </w:pPr>
            <w:r w:rsidRPr="000336F8">
              <w:rPr>
                <w:rFonts w:ascii="Palatino Linotype" w:hAnsi="Palatino Linotype"/>
                <w:sz w:val="20"/>
                <w:szCs w:val="20"/>
              </w:rPr>
              <w:t>Retired April 2016</w:t>
            </w:r>
          </w:p>
        </w:tc>
      </w:tr>
      <w:tr w:rsidR="007F63D8" w:rsidRPr="000336F8" w14:paraId="43A3B559" w14:textId="77777777" w:rsidTr="00BF1B07">
        <w:tc>
          <w:tcPr>
            <w:tcW w:w="0" w:type="auto"/>
            <w:hideMark/>
          </w:tcPr>
          <w:p w14:paraId="68E22A53" w14:textId="77777777" w:rsidR="007F63D8" w:rsidRPr="000336F8" w:rsidRDefault="007F63D8" w:rsidP="007F63D8">
            <w:pPr>
              <w:spacing w:before="100" w:beforeAutospacing="1" w:after="100" w:afterAutospacing="1" w:line="240" w:lineRule="auto"/>
              <w:contextualSpacing/>
              <w:jc w:val="center"/>
              <w:rPr>
                <w:rFonts w:ascii="Palatino Linotype" w:hAnsi="Palatino Linotype"/>
                <w:sz w:val="20"/>
                <w:szCs w:val="20"/>
              </w:rPr>
            </w:pPr>
            <w:r w:rsidRPr="000336F8">
              <w:rPr>
                <w:rFonts w:ascii="Palatino Linotype" w:hAnsi="Palatino Linotype"/>
                <w:sz w:val="20"/>
                <w:szCs w:val="20"/>
              </w:rPr>
              <w:t>3</w:t>
            </w:r>
          </w:p>
        </w:tc>
        <w:tc>
          <w:tcPr>
            <w:tcW w:w="2903" w:type="dxa"/>
            <w:hideMark/>
          </w:tcPr>
          <w:p w14:paraId="477E9116" w14:textId="77777777" w:rsidR="007F63D8" w:rsidRPr="000336F8" w:rsidRDefault="007F63D8" w:rsidP="007F63D8">
            <w:pPr>
              <w:spacing w:before="100" w:beforeAutospacing="1" w:after="100" w:afterAutospacing="1" w:line="240" w:lineRule="auto"/>
              <w:contextualSpacing/>
              <w:jc w:val="center"/>
              <w:rPr>
                <w:rFonts w:ascii="Palatino Linotype" w:hAnsi="Palatino Linotype"/>
                <w:sz w:val="20"/>
                <w:szCs w:val="20"/>
              </w:rPr>
            </w:pPr>
            <w:r w:rsidRPr="000336F8">
              <w:rPr>
                <w:rFonts w:ascii="Palatino Linotype" w:hAnsi="Palatino Linotype"/>
                <w:sz w:val="20"/>
                <w:szCs w:val="20"/>
              </w:rPr>
              <w:t>312.3</w:t>
            </w:r>
          </w:p>
        </w:tc>
        <w:tc>
          <w:tcPr>
            <w:tcW w:w="2211" w:type="dxa"/>
            <w:hideMark/>
          </w:tcPr>
          <w:p w14:paraId="5D90D826" w14:textId="77777777" w:rsidR="007F63D8" w:rsidRPr="000336F8" w:rsidRDefault="007F63D8" w:rsidP="007F63D8">
            <w:pPr>
              <w:spacing w:before="100" w:beforeAutospacing="1" w:after="100" w:afterAutospacing="1" w:line="240" w:lineRule="auto"/>
              <w:contextualSpacing/>
              <w:jc w:val="center"/>
              <w:rPr>
                <w:rFonts w:ascii="Palatino Linotype" w:hAnsi="Palatino Linotype"/>
                <w:sz w:val="20"/>
                <w:szCs w:val="20"/>
              </w:rPr>
            </w:pPr>
            <w:r w:rsidRPr="000336F8">
              <w:rPr>
                <w:rFonts w:ascii="Palatino Linotype" w:hAnsi="Palatino Linotype"/>
                <w:sz w:val="20"/>
                <w:szCs w:val="20"/>
              </w:rPr>
              <w:t>1980</w:t>
            </w:r>
          </w:p>
        </w:tc>
        <w:tc>
          <w:tcPr>
            <w:tcW w:w="4497" w:type="dxa"/>
            <w:hideMark/>
          </w:tcPr>
          <w:p w14:paraId="18C11DDF" w14:textId="77777777" w:rsidR="007F63D8" w:rsidRPr="000336F8" w:rsidRDefault="007F63D8" w:rsidP="007F63D8">
            <w:pPr>
              <w:spacing w:before="100" w:beforeAutospacing="1" w:after="100" w:afterAutospacing="1" w:line="240" w:lineRule="auto"/>
              <w:contextualSpacing/>
              <w:rPr>
                <w:rFonts w:ascii="Palatino Linotype" w:hAnsi="Palatino Linotype"/>
                <w:sz w:val="20"/>
                <w:szCs w:val="20"/>
              </w:rPr>
            </w:pPr>
            <w:r w:rsidRPr="000336F8">
              <w:rPr>
                <w:rFonts w:ascii="Palatino Linotype" w:hAnsi="Palatino Linotype"/>
                <w:sz w:val="20"/>
                <w:szCs w:val="20"/>
              </w:rPr>
              <w:t>Retirement scheduled for 2025</w:t>
            </w:r>
          </w:p>
        </w:tc>
      </w:tr>
      <w:tr w:rsidR="007F63D8" w:rsidRPr="000336F8" w14:paraId="6D46FD33" w14:textId="77777777" w:rsidTr="00BF1B07">
        <w:tc>
          <w:tcPr>
            <w:tcW w:w="0" w:type="auto"/>
            <w:hideMark/>
          </w:tcPr>
          <w:p w14:paraId="7A710027" w14:textId="77777777" w:rsidR="007F63D8" w:rsidRPr="000336F8" w:rsidRDefault="007F63D8" w:rsidP="007F63D8">
            <w:pPr>
              <w:spacing w:before="100" w:beforeAutospacing="1" w:after="100" w:afterAutospacing="1" w:line="240" w:lineRule="auto"/>
              <w:contextualSpacing/>
              <w:jc w:val="center"/>
              <w:rPr>
                <w:rFonts w:ascii="Palatino Linotype" w:hAnsi="Palatino Linotype"/>
                <w:sz w:val="20"/>
                <w:szCs w:val="20"/>
              </w:rPr>
            </w:pPr>
            <w:r w:rsidRPr="000336F8">
              <w:rPr>
                <w:rFonts w:ascii="Palatino Linotype" w:hAnsi="Palatino Linotype"/>
                <w:sz w:val="20"/>
                <w:szCs w:val="20"/>
              </w:rPr>
              <w:t>4</w:t>
            </w:r>
          </w:p>
        </w:tc>
        <w:tc>
          <w:tcPr>
            <w:tcW w:w="2903" w:type="dxa"/>
            <w:hideMark/>
          </w:tcPr>
          <w:p w14:paraId="5C1FDCCA" w14:textId="77777777" w:rsidR="007F63D8" w:rsidRPr="000336F8" w:rsidRDefault="007F63D8" w:rsidP="007F63D8">
            <w:pPr>
              <w:spacing w:before="100" w:beforeAutospacing="1" w:after="100" w:afterAutospacing="1" w:line="240" w:lineRule="auto"/>
              <w:contextualSpacing/>
              <w:jc w:val="center"/>
              <w:rPr>
                <w:rFonts w:ascii="Palatino Linotype" w:hAnsi="Palatino Linotype"/>
                <w:sz w:val="20"/>
                <w:szCs w:val="20"/>
              </w:rPr>
            </w:pPr>
            <w:r w:rsidRPr="000336F8">
              <w:rPr>
                <w:rFonts w:ascii="Palatino Linotype" w:hAnsi="Palatino Linotype"/>
                <w:sz w:val="20"/>
                <w:szCs w:val="20"/>
              </w:rPr>
              <w:t>414</w:t>
            </w:r>
          </w:p>
        </w:tc>
        <w:tc>
          <w:tcPr>
            <w:tcW w:w="2211" w:type="dxa"/>
            <w:hideMark/>
          </w:tcPr>
          <w:p w14:paraId="4D661EB4" w14:textId="77777777" w:rsidR="007F63D8" w:rsidRPr="000336F8" w:rsidRDefault="007F63D8" w:rsidP="007F63D8">
            <w:pPr>
              <w:spacing w:before="100" w:beforeAutospacing="1" w:after="100" w:afterAutospacing="1" w:line="240" w:lineRule="auto"/>
              <w:contextualSpacing/>
              <w:jc w:val="center"/>
              <w:rPr>
                <w:rFonts w:ascii="Palatino Linotype" w:hAnsi="Palatino Linotype"/>
                <w:sz w:val="20"/>
                <w:szCs w:val="20"/>
              </w:rPr>
            </w:pPr>
            <w:r w:rsidRPr="000336F8">
              <w:rPr>
                <w:rFonts w:ascii="Palatino Linotype" w:hAnsi="Palatino Linotype"/>
                <w:sz w:val="20"/>
                <w:szCs w:val="20"/>
              </w:rPr>
              <w:t>1981</w:t>
            </w:r>
          </w:p>
        </w:tc>
        <w:tc>
          <w:tcPr>
            <w:tcW w:w="4497" w:type="dxa"/>
            <w:hideMark/>
          </w:tcPr>
          <w:p w14:paraId="61B4B9C1" w14:textId="77777777" w:rsidR="007F63D8" w:rsidRPr="000336F8" w:rsidRDefault="007F63D8" w:rsidP="007F63D8">
            <w:pPr>
              <w:spacing w:before="100" w:beforeAutospacing="1" w:after="100" w:afterAutospacing="1" w:line="240" w:lineRule="auto"/>
              <w:contextualSpacing/>
              <w:rPr>
                <w:rFonts w:ascii="Palatino Linotype" w:hAnsi="Palatino Linotype"/>
                <w:sz w:val="20"/>
                <w:szCs w:val="20"/>
              </w:rPr>
            </w:pPr>
            <w:r w:rsidRPr="000336F8">
              <w:rPr>
                <w:rFonts w:ascii="Palatino Linotype" w:hAnsi="Palatino Linotype"/>
                <w:sz w:val="20"/>
                <w:szCs w:val="20"/>
              </w:rPr>
              <w:t>Retirement scheduled for 2020</w:t>
            </w:r>
          </w:p>
        </w:tc>
      </w:tr>
    </w:tbl>
    <w:p w14:paraId="576C706E" w14:textId="77777777" w:rsidR="007F63D8" w:rsidRPr="000336F8" w:rsidRDefault="007F63D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237A" w14:textId="0BC02E66" w:rsidR="00315CC3" w:rsidRDefault="00272BF9">
    <w:pPr>
      <w:pStyle w:val="Header"/>
    </w:pPr>
    <w:r>
      <w:rPr>
        <w:noProof/>
      </w:rPr>
      <mc:AlternateContent>
        <mc:Choice Requires="wps">
          <w:drawing>
            <wp:anchor distT="0" distB="0" distL="0" distR="0" simplePos="0" relativeHeight="251665408" behindDoc="0" locked="0" layoutInCell="1" allowOverlap="1" wp14:anchorId="66C0ADCF" wp14:editId="79557562">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B3B7C" w14:textId="3EE5C78F" w:rsidR="00272BF9" w:rsidRPr="00272BF9" w:rsidRDefault="00272BF9" w:rsidP="00272BF9">
                          <w:pPr>
                            <w:spacing w:after="0"/>
                            <w:rPr>
                              <w:rFonts w:ascii="Calibri" w:eastAsia="Calibri" w:hAnsi="Calibri" w:cs="Calibri"/>
                              <w:noProof/>
                              <w:color w:val="000000"/>
                              <w:sz w:val="20"/>
                              <w:szCs w:val="20"/>
                            </w:rPr>
                          </w:pPr>
                          <w:r w:rsidRPr="00272BF9">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C0ADCF"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9BB3B7C" w14:textId="3EE5C78F" w:rsidR="00272BF9" w:rsidRPr="00272BF9" w:rsidRDefault="00272BF9" w:rsidP="00272BF9">
                    <w:pPr>
                      <w:spacing w:after="0"/>
                      <w:rPr>
                        <w:rFonts w:ascii="Calibri" w:eastAsia="Calibri" w:hAnsi="Calibri" w:cs="Calibri"/>
                        <w:noProof/>
                        <w:color w:val="000000"/>
                        <w:sz w:val="20"/>
                        <w:szCs w:val="20"/>
                      </w:rPr>
                    </w:pPr>
                    <w:r w:rsidRPr="00272BF9">
                      <w:rPr>
                        <w:rFonts w:ascii="Calibri" w:eastAsia="Calibri" w:hAnsi="Calibri" w:cs="Calibri"/>
                        <w:noProof/>
                        <w:color w:val="000000"/>
                        <w:sz w:val="20"/>
                        <w:szCs w:val="20"/>
                      </w:rPr>
                      <w:t>&lt;Public&gt;</w:t>
                    </w:r>
                  </w:p>
                </w:txbxContent>
              </v:textbox>
              <w10:wrap anchorx="page" anchory="page"/>
            </v:shape>
          </w:pict>
        </mc:Fallback>
      </mc:AlternateContent>
    </w:r>
    <w:r w:rsidR="0080230F">
      <w:rPr>
        <w:noProof/>
      </w:rPr>
      <w:pict w14:anchorId="55EBD9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72797" o:spid="_x0000_s2050" type="#_x0000_t136" style="position:absolute;left:0;text-align:left;margin-left:0;margin-top:0;width:641.15pt;height:69.45pt;rotation:315;z-index:-251655168;mso-position-horizontal:center;mso-position-horizontal-relative:margin;mso-position-vertical:center;mso-position-vertical-relative:margin" o:allowincell="f" fillcolor="silver" stroked="f">
          <v:fill opacity=".5"/>
          <v:textpath style="font-family:&quot;Palatino Linotype&quot;;font-size:1pt" string="WECC-0141 Posting 2 -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A4B5" w14:textId="2DEAB2CE" w:rsidR="00272BF9" w:rsidRDefault="00272BF9" w:rsidP="000C7E11">
    <w:pPr>
      <w:pStyle w:val="Header"/>
    </w:pPr>
    <w:r>
      <w:t>Attachment O</w:t>
    </w:r>
  </w:p>
  <w:p w14:paraId="136AEDAD" w14:textId="3B3344EB" w:rsidR="00272BF9" w:rsidRDefault="00272BF9" w:rsidP="000C7E11">
    <w:pPr>
      <w:pStyle w:val="Header"/>
    </w:pPr>
    <w:r>
      <w:t>Guidance Document</w:t>
    </w:r>
    <w:r w:rsidR="009411CD">
      <w:t>—</w:t>
    </w:r>
    <w:r>
      <w:t>White Paper</w:t>
    </w:r>
  </w:p>
  <w:p w14:paraId="11160E2E" w14:textId="2ABFCDC4" w:rsidR="00315CC3" w:rsidRDefault="00272BF9" w:rsidP="000C7E11">
    <w:pPr>
      <w:pStyle w:val="Header"/>
    </w:pPr>
    <w:r>
      <w:rPr>
        <w:noProof/>
      </w:rPr>
      <mc:AlternateContent>
        <mc:Choice Requires="wps">
          <w:drawing>
            <wp:anchor distT="0" distB="0" distL="0" distR="0" simplePos="0" relativeHeight="251666432" behindDoc="0" locked="0" layoutInCell="1" allowOverlap="1" wp14:anchorId="20452E96" wp14:editId="2670016B">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E0C0C3" w14:textId="404FD5AD" w:rsidR="00272BF9" w:rsidRPr="00272BF9" w:rsidRDefault="00272BF9" w:rsidP="00272BF9">
                          <w:pPr>
                            <w:spacing w:after="0"/>
                            <w:rPr>
                              <w:rFonts w:ascii="Calibri" w:eastAsia="Calibri" w:hAnsi="Calibri" w:cs="Calibri"/>
                              <w:noProof/>
                              <w:color w:val="000000"/>
                              <w:sz w:val="20"/>
                              <w:szCs w:val="20"/>
                            </w:rPr>
                          </w:pPr>
                          <w:r w:rsidRPr="00272BF9">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452E96"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3E0C0C3" w14:textId="404FD5AD" w:rsidR="00272BF9" w:rsidRPr="00272BF9" w:rsidRDefault="00272BF9" w:rsidP="00272BF9">
                    <w:pPr>
                      <w:spacing w:after="0"/>
                      <w:rPr>
                        <w:rFonts w:ascii="Calibri" w:eastAsia="Calibri" w:hAnsi="Calibri" w:cs="Calibri"/>
                        <w:noProof/>
                        <w:color w:val="000000"/>
                        <w:sz w:val="20"/>
                        <w:szCs w:val="20"/>
                      </w:rPr>
                    </w:pPr>
                    <w:r w:rsidRPr="00272BF9">
                      <w:rPr>
                        <w:rFonts w:ascii="Calibri" w:eastAsia="Calibri" w:hAnsi="Calibri" w:cs="Calibri"/>
                        <w:noProof/>
                        <w:color w:val="000000"/>
                        <w:sz w:val="20"/>
                        <w:szCs w:val="20"/>
                      </w:rPr>
                      <w:t>&lt;Public&gt;</w:t>
                    </w:r>
                  </w:p>
                </w:txbxContent>
              </v:textbox>
              <w10:wrap anchorx="page" anchory="page"/>
            </v:shape>
          </w:pict>
        </mc:Fallback>
      </mc:AlternateContent>
    </w:r>
    <w:r w:rsidR="0080230F">
      <w:rPr>
        <w:noProof/>
      </w:rPr>
      <w:pict w14:anchorId="63A52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72798" o:spid="_x0000_s2051" type="#_x0000_t136" style="position:absolute;left:0;text-align:left;margin-left:0;margin-top:0;width:641.15pt;height:69.45pt;rotation:315;z-index:-251653120;mso-position-horizontal:center;mso-position-horizontal-relative:margin;mso-position-vertical:center;mso-position-vertical-relative:margin" o:allowincell="f" fillcolor="silver" stroked="f">
          <v:fill opacity=".5"/>
          <v:textpath style="font-family:&quot;Palatino Linotype&quot;;font-size:1pt" string="WECC-0141 Posting 2 - Final"/>
          <w10:wrap anchorx="margin" anchory="margin"/>
        </v:shape>
      </w:pict>
    </w:r>
    <w:r w:rsidR="00315CC3">
      <w:t>WECC-0141 FAC-501-WECC-3</w:t>
    </w:r>
    <w:r w:rsidR="000C7E11">
      <w:t>—</w:t>
    </w:r>
    <w:r w:rsidR="00315CC3">
      <w:t>Transmission Maintenance</w:t>
    </w:r>
  </w:p>
  <w:p w14:paraId="45F84EFB" w14:textId="77777777" w:rsidR="009411CD" w:rsidRDefault="009411CD" w:rsidP="000C7E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536E" w14:textId="1657CEB5" w:rsidR="00315CC3" w:rsidRDefault="00272BF9">
    <w:pPr>
      <w:pStyle w:val="Header"/>
    </w:pPr>
    <w:r>
      <w:rPr>
        <w:noProof/>
      </w:rPr>
      <mc:AlternateContent>
        <mc:Choice Requires="wps">
          <w:drawing>
            <wp:anchor distT="0" distB="0" distL="0" distR="0" simplePos="0" relativeHeight="251664384" behindDoc="0" locked="0" layoutInCell="1" allowOverlap="1" wp14:anchorId="41A1A509" wp14:editId="2B5B52F8">
              <wp:simplePos x="688019" y="457200"/>
              <wp:positionH relativeFrom="page">
                <wp:align>center</wp:align>
              </wp:positionH>
              <wp:positionV relativeFrom="page">
                <wp:align>top</wp:align>
              </wp:positionV>
              <wp:extent cx="443865" cy="443865"/>
              <wp:effectExtent l="0" t="0" r="0" b="12065"/>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7B1678" w14:textId="1A19F814" w:rsidR="00272BF9" w:rsidRPr="00272BF9" w:rsidRDefault="00272BF9" w:rsidP="00272BF9">
                          <w:pPr>
                            <w:spacing w:after="0"/>
                            <w:rPr>
                              <w:rFonts w:ascii="Calibri" w:eastAsia="Calibri" w:hAnsi="Calibri" w:cs="Calibri"/>
                              <w:noProof/>
                              <w:color w:val="000000"/>
                              <w:sz w:val="20"/>
                              <w:szCs w:val="20"/>
                            </w:rPr>
                          </w:pPr>
                          <w:r w:rsidRPr="00272BF9">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A1A509" id="_x0000_t202" coordsize="21600,21600" o:spt="202" path="m,l,21600r21600,l21600,xe">
              <v:stroke joinstyle="miter"/>
              <v:path gradientshapeok="t" o:connecttype="rect"/>
            </v:shapetype>
            <v:shape id="Text Box 1" o:spid="_x0000_s1028" type="#_x0000_t202" alt="&lt;Public&gt;"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17B1678" w14:textId="1A19F814" w:rsidR="00272BF9" w:rsidRPr="00272BF9" w:rsidRDefault="00272BF9" w:rsidP="00272BF9">
                    <w:pPr>
                      <w:spacing w:after="0"/>
                      <w:rPr>
                        <w:rFonts w:ascii="Calibri" w:eastAsia="Calibri" w:hAnsi="Calibri" w:cs="Calibri"/>
                        <w:noProof/>
                        <w:color w:val="000000"/>
                        <w:sz w:val="20"/>
                        <w:szCs w:val="20"/>
                      </w:rPr>
                    </w:pPr>
                    <w:r w:rsidRPr="00272BF9">
                      <w:rPr>
                        <w:rFonts w:ascii="Calibri" w:eastAsia="Calibri" w:hAnsi="Calibri" w:cs="Calibri"/>
                        <w:noProof/>
                        <w:color w:val="000000"/>
                        <w:sz w:val="20"/>
                        <w:szCs w:val="20"/>
                      </w:rPr>
                      <w:t>&lt;Public&gt;</w:t>
                    </w:r>
                  </w:p>
                </w:txbxContent>
              </v:textbox>
              <w10:wrap anchorx="page" anchory="page"/>
            </v:shape>
          </w:pict>
        </mc:Fallback>
      </mc:AlternateContent>
    </w:r>
    <w:r w:rsidR="0080230F">
      <w:rPr>
        <w:noProof/>
      </w:rPr>
      <w:pict w14:anchorId="3F8F6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72796" o:spid="_x0000_s2049" type="#_x0000_t136" style="position:absolute;left:0;text-align:left;margin-left:0;margin-top:0;width:641.15pt;height:69.45pt;rotation:315;z-index:-251657216;mso-position-horizontal:center;mso-position-horizontal-relative:margin;mso-position-vertical:center;mso-position-vertical-relative:margin" o:allowincell="f" fillcolor="silver" stroked="f">
          <v:fill opacity=".5"/>
          <v:textpath style="font-family:&quot;Palatino Linotype&quot;;font-size:1pt" string="WECC-0141 Posting 2 - 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5A87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3C41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10003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E4961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B00C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C221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E7251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BA6D6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04CB88"/>
    <w:lvl w:ilvl="0">
      <w:start w:val="1"/>
      <w:numFmt w:val="decimal"/>
      <w:lvlText w:val="%1."/>
      <w:lvlJc w:val="left"/>
      <w:pPr>
        <w:tabs>
          <w:tab w:val="num" w:pos="360"/>
        </w:tabs>
        <w:ind w:left="360" w:hanging="360"/>
      </w:pPr>
    </w:lvl>
  </w:abstractNum>
  <w:abstractNum w:abstractNumId="9" w15:restartNumberingAfterBreak="0">
    <w:nsid w:val="00C70014"/>
    <w:multiLevelType w:val="hybridMultilevel"/>
    <w:tmpl w:val="C89A6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1193E93"/>
    <w:multiLevelType w:val="multilevel"/>
    <w:tmpl w:val="2256A8FE"/>
    <w:lvl w:ilvl="0">
      <w:start w:val="1"/>
      <w:numFmt w:val="decimal"/>
      <w:lvlText w:val="%1."/>
      <w:lvlJc w:val="left"/>
      <w:pPr>
        <w:tabs>
          <w:tab w:val="num" w:pos="936"/>
        </w:tabs>
        <w:ind w:left="936" w:hanging="576"/>
      </w:pPr>
      <w:rPr>
        <w:rFonts w:asciiTheme="minorHAnsi" w:hAnsiTheme="minorHAnsi" w:cs="Times New Roman" w:hint="default"/>
        <w:b/>
        <w:i w:val="0"/>
        <w:sz w:val="24"/>
        <w:szCs w:val="22"/>
      </w:rPr>
    </w:lvl>
    <w:lvl w:ilvl="1">
      <w:start w:val="1"/>
      <w:numFmt w:val="decimal"/>
      <w:lvlText w:val="%1.%2."/>
      <w:lvlJc w:val="left"/>
      <w:pPr>
        <w:tabs>
          <w:tab w:val="num" w:pos="1674"/>
        </w:tabs>
        <w:ind w:left="1674" w:hanging="504"/>
      </w:pPr>
      <w:rPr>
        <w:rFonts w:asciiTheme="minorHAnsi" w:hAnsiTheme="minorHAnsi" w:cs="Times New Roman" w:hint="default"/>
        <w:b w:val="0"/>
        <w:i w:val="0"/>
        <w:sz w:val="24"/>
        <w:szCs w:val="22"/>
      </w:rPr>
    </w:lvl>
    <w:lvl w:ilvl="2">
      <w:start w:val="1"/>
      <w:numFmt w:val="decimal"/>
      <w:lvlText w:val="%1.%2.%3"/>
      <w:lvlJc w:val="left"/>
      <w:pPr>
        <w:tabs>
          <w:tab w:val="num" w:pos="2160"/>
        </w:tabs>
        <w:ind w:left="2160" w:hanging="720"/>
      </w:pPr>
      <w:rPr>
        <w:b/>
        <w:sz w:val="24"/>
      </w:rPr>
    </w:lvl>
    <w:lvl w:ilvl="3">
      <w:start w:val="1"/>
      <w:numFmt w:val="decimal"/>
      <w:lvlText w:val="%1.%2.%3.%4"/>
      <w:lvlJc w:val="left"/>
      <w:pPr>
        <w:tabs>
          <w:tab w:val="num" w:pos="2520"/>
        </w:tabs>
        <w:ind w:left="2520" w:hanging="720"/>
      </w:pPr>
      <w:rPr>
        <w:b/>
        <w:sz w:val="24"/>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600"/>
        </w:tabs>
        <w:ind w:left="3600" w:hanging="1080"/>
      </w:pPr>
      <w:rPr>
        <w:b/>
      </w:rPr>
    </w:lvl>
    <w:lvl w:ilvl="6">
      <w:start w:val="1"/>
      <w:numFmt w:val="decimal"/>
      <w:lvlText w:val="%1.%2.%3.%4.%5.%6.%7"/>
      <w:lvlJc w:val="left"/>
      <w:pPr>
        <w:tabs>
          <w:tab w:val="num" w:pos="4320"/>
        </w:tabs>
        <w:ind w:left="4320" w:hanging="1440"/>
      </w:pPr>
      <w:rPr>
        <w:b/>
      </w:rPr>
    </w:lvl>
    <w:lvl w:ilvl="7">
      <w:start w:val="1"/>
      <w:numFmt w:val="decimal"/>
      <w:lvlText w:val="%1.%2.%3.%4.%5.%6.%7.%8"/>
      <w:lvlJc w:val="left"/>
      <w:pPr>
        <w:tabs>
          <w:tab w:val="num" w:pos="4680"/>
        </w:tabs>
        <w:ind w:left="4680" w:hanging="1440"/>
      </w:pPr>
      <w:rPr>
        <w:b/>
      </w:rPr>
    </w:lvl>
    <w:lvl w:ilvl="8">
      <w:start w:val="1"/>
      <w:numFmt w:val="decimal"/>
      <w:lvlText w:val="%1.%2.%3.%4.%5.%6.%7.%8.%9"/>
      <w:lvlJc w:val="left"/>
      <w:pPr>
        <w:tabs>
          <w:tab w:val="num" w:pos="5400"/>
        </w:tabs>
        <w:ind w:left="5400" w:hanging="1800"/>
      </w:pPr>
      <w:rPr>
        <w:b/>
      </w:rPr>
    </w:lvl>
  </w:abstractNum>
  <w:abstractNum w:abstractNumId="11" w15:restartNumberingAfterBreak="0">
    <w:nsid w:val="0CEC756C"/>
    <w:multiLevelType w:val="hybridMultilevel"/>
    <w:tmpl w:val="E67CA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FA40DE"/>
    <w:multiLevelType w:val="hybridMultilevel"/>
    <w:tmpl w:val="80F2331C"/>
    <w:lvl w:ilvl="0" w:tplc="2384CA38">
      <w:start w:val="1"/>
      <w:numFmt w:val="decimal"/>
      <w:lvlText w:val="%1."/>
      <w:lvlJc w:val="left"/>
      <w:pPr>
        <w:ind w:left="720" w:hanging="360"/>
      </w:pPr>
    </w:lvl>
    <w:lvl w:ilvl="1" w:tplc="46C8C0C2" w:tentative="1">
      <w:start w:val="1"/>
      <w:numFmt w:val="lowerLetter"/>
      <w:lvlText w:val="%2."/>
      <w:lvlJc w:val="left"/>
      <w:pPr>
        <w:ind w:left="1440" w:hanging="360"/>
      </w:pPr>
    </w:lvl>
    <w:lvl w:ilvl="2" w:tplc="4872B018" w:tentative="1">
      <w:start w:val="1"/>
      <w:numFmt w:val="lowerRoman"/>
      <w:lvlText w:val="%3."/>
      <w:lvlJc w:val="right"/>
      <w:pPr>
        <w:ind w:left="2160" w:hanging="180"/>
      </w:pPr>
    </w:lvl>
    <w:lvl w:ilvl="3" w:tplc="010ED2F0" w:tentative="1">
      <w:start w:val="1"/>
      <w:numFmt w:val="decimal"/>
      <w:lvlText w:val="%4."/>
      <w:lvlJc w:val="left"/>
      <w:pPr>
        <w:ind w:left="2880" w:hanging="360"/>
      </w:pPr>
    </w:lvl>
    <w:lvl w:ilvl="4" w:tplc="CDCEEC48" w:tentative="1">
      <w:start w:val="1"/>
      <w:numFmt w:val="lowerLetter"/>
      <w:lvlText w:val="%5."/>
      <w:lvlJc w:val="left"/>
      <w:pPr>
        <w:ind w:left="3600" w:hanging="360"/>
      </w:pPr>
    </w:lvl>
    <w:lvl w:ilvl="5" w:tplc="0810C9F6" w:tentative="1">
      <w:start w:val="1"/>
      <w:numFmt w:val="lowerRoman"/>
      <w:lvlText w:val="%6."/>
      <w:lvlJc w:val="right"/>
      <w:pPr>
        <w:ind w:left="4320" w:hanging="180"/>
      </w:pPr>
    </w:lvl>
    <w:lvl w:ilvl="6" w:tplc="61B827C8" w:tentative="1">
      <w:start w:val="1"/>
      <w:numFmt w:val="decimal"/>
      <w:lvlText w:val="%7."/>
      <w:lvlJc w:val="left"/>
      <w:pPr>
        <w:ind w:left="5040" w:hanging="360"/>
      </w:pPr>
    </w:lvl>
    <w:lvl w:ilvl="7" w:tplc="705AC7F8" w:tentative="1">
      <w:start w:val="1"/>
      <w:numFmt w:val="lowerLetter"/>
      <w:lvlText w:val="%8."/>
      <w:lvlJc w:val="left"/>
      <w:pPr>
        <w:ind w:left="5760" w:hanging="360"/>
      </w:pPr>
    </w:lvl>
    <w:lvl w:ilvl="8" w:tplc="EEF60BD0" w:tentative="1">
      <w:start w:val="1"/>
      <w:numFmt w:val="lowerRoman"/>
      <w:lvlText w:val="%9."/>
      <w:lvlJc w:val="right"/>
      <w:pPr>
        <w:ind w:left="6480" w:hanging="180"/>
      </w:pPr>
    </w:lvl>
  </w:abstractNum>
  <w:abstractNum w:abstractNumId="13" w15:restartNumberingAfterBreak="0">
    <w:nsid w:val="13C05A73"/>
    <w:multiLevelType w:val="hybridMultilevel"/>
    <w:tmpl w:val="6B7E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140ED1"/>
    <w:multiLevelType w:val="hybridMultilevel"/>
    <w:tmpl w:val="ED52ED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BC416E"/>
    <w:multiLevelType w:val="hybridMultilevel"/>
    <w:tmpl w:val="C89A6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431355"/>
    <w:multiLevelType w:val="hybridMultilevel"/>
    <w:tmpl w:val="9F367C0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7"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A784E"/>
    <w:multiLevelType w:val="hybridMultilevel"/>
    <w:tmpl w:val="C89A6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E7634"/>
    <w:multiLevelType w:val="hybridMultilevel"/>
    <w:tmpl w:val="F3640238"/>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0" w15:restartNumberingAfterBreak="0">
    <w:nsid w:val="48DA0BDC"/>
    <w:multiLevelType w:val="hybridMultilevel"/>
    <w:tmpl w:val="473A029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1"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2" w15:restartNumberingAfterBreak="0">
    <w:nsid w:val="4BBB1A21"/>
    <w:multiLevelType w:val="multilevel"/>
    <w:tmpl w:val="3AA2A79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040D0F"/>
    <w:multiLevelType w:val="multilevel"/>
    <w:tmpl w:val="355EC970"/>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4" w15:restartNumberingAfterBreak="0">
    <w:nsid w:val="4C686C72"/>
    <w:multiLevelType w:val="multilevel"/>
    <w:tmpl w:val="4442F84C"/>
    <w:lvl w:ilvl="0">
      <w:start w:val="1"/>
      <w:numFmt w:val="decimal"/>
      <w:lvlText w:val="%1"/>
      <w:lvlJc w:val="left"/>
      <w:pPr>
        <w:ind w:left="720" w:hanging="720"/>
      </w:pPr>
      <w:rPr>
        <w:rFonts w:hint="default"/>
        <w:b/>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5" w15:restartNumberingAfterBreak="0">
    <w:nsid w:val="4D101D6E"/>
    <w:multiLevelType w:val="hybridMultilevel"/>
    <w:tmpl w:val="4AD64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7169F9"/>
    <w:multiLevelType w:val="hybridMultilevel"/>
    <w:tmpl w:val="85AA5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514BC"/>
    <w:multiLevelType w:val="hybridMultilevel"/>
    <w:tmpl w:val="6904256A"/>
    <w:lvl w:ilvl="0" w:tplc="34365AF2">
      <w:start w:val="1"/>
      <w:numFmt w:val="decimal"/>
      <w:lvlText w:val="%1."/>
      <w:lvlJc w:val="left"/>
      <w:pPr>
        <w:ind w:left="720" w:hanging="360"/>
      </w:pPr>
    </w:lvl>
    <w:lvl w:ilvl="1" w:tplc="4E3A6E56" w:tentative="1">
      <w:start w:val="1"/>
      <w:numFmt w:val="lowerLetter"/>
      <w:lvlText w:val="%2."/>
      <w:lvlJc w:val="left"/>
      <w:pPr>
        <w:ind w:left="1440" w:hanging="360"/>
      </w:pPr>
    </w:lvl>
    <w:lvl w:ilvl="2" w:tplc="78B2D53C" w:tentative="1">
      <w:start w:val="1"/>
      <w:numFmt w:val="lowerRoman"/>
      <w:lvlText w:val="%3."/>
      <w:lvlJc w:val="right"/>
      <w:pPr>
        <w:ind w:left="2160" w:hanging="180"/>
      </w:pPr>
    </w:lvl>
    <w:lvl w:ilvl="3" w:tplc="F726294C" w:tentative="1">
      <w:start w:val="1"/>
      <w:numFmt w:val="decimal"/>
      <w:lvlText w:val="%4."/>
      <w:lvlJc w:val="left"/>
      <w:pPr>
        <w:ind w:left="2880" w:hanging="360"/>
      </w:pPr>
    </w:lvl>
    <w:lvl w:ilvl="4" w:tplc="C950AA5E" w:tentative="1">
      <w:start w:val="1"/>
      <w:numFmt w:val="lowerLetter"/>
      <w:lvlText w:val="%5."/>
      <w:lvlJc w:val="left"/>
      <w:pPr>
        <w:ind w:left="3600" w:hanging="360"/>
      </w:pPr>
    </w:lvl>
    <w:lvl w:ilvl="5" w:tplc="826E3AAE" w:tentative="1">
      <w:start w:val="1"/>
      <w:numFmt w:val="lowerRoman"/>
      <w:lvlText w:val="%6."/>
      <w:lvlJc w:val="right"/>
      <w:pPr>
        <w:ind w:left="4320" w:hanging="180"/>
      </w:pPr>
    </w:lvl>
    <w:lvl w:ilvl="6" w:tplc="73B42FE6" w:tentative="1">
      <w:start w:val="1"/>
      <w:numFmt w:val="decimal"/>
      <w:lvlText w:val="%7."/>
      <w:lvlJc w:val="left"/>
      <w:pPr>
        <w:ind w:left="5040" w:hanging="360"/>
      </w:pPr>
    </w:lvl>
    <w:lvl w:ilvl="7" w:tplc="D4E87E64" w:tentative="1">
      <w:start w:val="1"/>
      <w:numFmt w:val="lowerLetter"/>
      <w:lvlText w:val="%8."/>
      <w:lvlJc w:val="left"/>
      <w:pPr>
        <w:ind w:left="5760" w:hanging="360"/>
      </w:pPr>
    </w:lvl>
    <w:lvl w:ilvl="8" w:tplc="54BE7E26" w:tentative="1">
      <w:start w:val="1"/>
      <w:numFmt w:val="lowerRoman"/>
      <w:lvlText w:val="%9."/>
      <w:lvlJc w:val="right"/>
      <w:pPr>
        <w:ind w:left="6480" w:hanging="180"/>
      </w:pPr>
    </w:lvl>
  </w:abstractNum>
  <w:abstractNum w:abstractNumId="28" w15:restartNumberingAfterBreak="0">
    <w:nsid w:val="5CEC0CFD"/>
    <w:multiLevelType w:val="hybridMultilevel"/>
    <w:tmpl w:val="D5E6590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9" w15:restartNumberingAfterBreak="0">
    <w:nsid w:val="6084766A"/>
    <w:multiLevelType w:val="hybridMultilevel"/>
    <w:tmpl w:val="2BC6AE28"/>
    <w:lvl w:ilvl="0" w:tplc="D598D7C6">
      <w:start w:val="1"/>
      <w:numFmt w:val="decimal"/>
      <w:lvlText w:val="%1)"/>
      <w:lvlJc w:val="left"/>
      <w:pPr>
        <w:ind w:left="720" w:hanging="360"/>
      </w:pPr>
      <w:rPr>
        <w:rFonts w:ascii="Palatino Linotype" w:hAnsi="Palatino Linotype"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0E3DF0"/>
    <w:multiLevelType w:val="hybridMultilevel"/>
    <w:tmpl w:val="A8C4DB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652707"/>
    <w:multiLevelType w:val="hybridMultilevel"/>
    <w:tmpl w:val="D2E6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F64A57"/>
    <w:multiLevelType w:val="hybridMultilevel"/>
    <w:tmpl w:val="0D14F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154CF"/>
    <w:multiLevelType w:val="hybridMultilevel"/>
    <w:tmpl w:val="AE9E6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5A52A8"/>
    <w:multiLevelType w:val="hybridMultilevel"/>
    <w:tmpl w:val="10248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B60AFE"/>
    <w:multiLevelType w:val="hybridMultilevel"/>
    <w:tmpl w:val="8E8028BE"/>
    <w:lvl w:ilvl="0" w:tplc="A60A5864">
      <w:numFmt w:val="bullet"/>
      <w:lvlText w:val="–"/>
      <w:lvlJc w:val="left"/>
      <w:pPr>
        <w:ind w:left="420" w:hanging="360"/>
      </w:pPr>
      <w:rPr>
        <w:rFonts w:ascii="Palatino Linotype" w:eastAsiaTheme="minorHAnsi" w:hAnsi="Palatino Linotype"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6F6308A1"/>
    <w:multiLevelType w:val="hybridMultilevel"/>
    <w:tmpl w:val="C89A6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832BF2"/>
    <w:multiLevelType w:val="hybridMultilevel"/>
    <w:tmpl w:val="C89A6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824EC9"/>
    <w:multiLevelType w:val="hybridMultilevel"/>
    <w:tmpl w:val="73284728"/>
    <w:lvl w:ilvl="0" w:tplc="1C985500">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 w15:restartNumberingAfterBreak="0">
    <w:nsid w:val="718844A8"/>
    <w:multiLevelType w:val="hybridMultilevel"/>
    <w:tmpl w:val="25825C94"/>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0"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74314C54"/>
    <w:multiLevelType w:val="hybridMultilevel"/>
    <w:tmpl w:val="E6E4515A"/>
    <w:lvl w:ilvl="0" w:tplc="0409000F">
      <w:start w:val="1"/>
      <w:numFmt w:val="decimal"/>
      <w:lvlText w:val="%1."/>
      <w:lvlJc w:val="left"/>
      <w:pPr>
        <w:ind w:left="769" w:hanging="360"/>
      </w:pPr>
      <w:rPr>
        <w:rFont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2" w15:restartNumberingAfterBreak="0">
    <w:nsid w:val="7DDE0D82"/>
    <w:multiLevelType w:val="hybridMultilevel"/>
    <w:tmpl w:val="F292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800357">
    <w:abstractNumId w:val="38"/>
  </w:num>
  <w:num w:numId="2" w16cid:durableId="112602953">
    <w:abstractNumId w:val="27"/>
  </w:num>
  <w:num w:numId="3" w16cid:durableId="1769690380">
    <w:abstractNumId w:val="12"/>
  </w:num>
  <w:num w:numId="4" w16cid:durableId="934360429">
    <w:abstractNumId w:val="17"/>
  </w:num>
  <w:num w:numId="5" w16cid:durableId="722289629">
    <w:abstractNumId w:val="40"/>
  </w:num>
  <w:num w:numId="6" w16cid:durableId="540676084">
    <w:abstractNumId w:val="24"/>
  </w:num>
  <w:num w:numId="7" w16cid:durableId="1423262667">
    <w:abstractNumId w:val="22"/>
  </w:num>
  <w:num w:numId="8" w16cid:durableId="16650144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711820">
    <w:abstractNumId w:val="31"/>
  </w:num>
  <w:num w:numId="10" w16cid:durableId="1633242923">
    <w:abstractNumId w:val="8"/>
  </w:num>
  <w:num w:numId="11" w16cid:durableId="1434089623">
    <w:abstractNumId w:val="34"/>
  </w:num>
  <w:num w:numId="12" w16cid:durableId="385838156">
    <w:abstractNumId w:val="23"/>
  </w:num>
  <w:num w:numId="13" w16cid:durableId="1189217319">
    <w:abstractNumId w:val="21"/>
  </w:num>
  <w:num w:numId="14" w16cid:durableId="484053879">
    <w:abstractNumId w:val="7"/>
  </w:num>
  <w:num w:numId="15" w16cid:durableId="1864129572">
    <w:abstractNumId w:val="6"/>
  </w:num>
  <w:num w:numId="16" w16cid:durableId="1482507120">
    <w:abstractNumId w:val="5"/>
  </w:num>
  <w:num w:numId="17" w16cid:durableId="441070258">
    <w:abstractNumId w:val="4"/>
  </w:num>
  <w:num w:numId="18" w16cid:durableId="1539200675">
    <w:abstractNumId w:val="3"/>
  </w:num>
  <w:num w:numId="19" w16cid:durableId="1602569434">
    <w:abstractNumId w:val="2"/>
  </w:num>
  <w:num w:numId="20" w16cid:durableId="1553075406">
    <w:abstractNumId w:val="1"/>
  </w:num>
  <w:num w:numId="21" w16cid:durableId="1563368115">
    <w:abstractNumId w:val="0"/>
  </w:num>
  <w:num w:numId="22" w16cid:durableId="1479688833">
    <w:abstractNumId w:val="23"/>
    <w:lvlOverride w:ilvl="0">
      <w:startOverride w:val="1"/>
    </w:lvlOverride>
  </w:num>
  <w:num w:numId="23" w16cid:durableId="198465938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731888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24307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1084578">
    <w:abstractNumId w:val="16"/>
  </w:num>
  <w:num w:numId="27" w16cid:durableId="893349980">
    <w:abstractNumId w:val="28"/>
  </w:num>
  <w:num w:numId="28" w16cid:durableId="1173060674">
    <w:abstractNumId w:val="26"/>
  </w:num>
  <w:num w:numId="29" w16cid:durableId="1487864429">
    <w:abstractNumId w:val="39"/>
  </w:num>
  <w:num w:numId="30" w16cid:durableId="1496189804">
    <w:abstractNumId w:val="41"/>
  </w:num>
  <w:num w:numId="31" w16cid:durableId="1359433202">
    <w:abstractNumId w:val="29"/>
  </w:num>
  <w:num w:numId="32" w16cid:durableId="668992031">
    <w:abstractNumId w:val="33"/>
  </w:num>
  <w:num w:numId="33" w16cid:durableId="99955473">
    <w:abstractNumId w:val="30"/>
  </w:num>
  <w:num w:numId="34" w16cid:durableId="756636172">
    <w:abstractNumId w:val="11"/>
  </w:num>
  <w:num w:numId="35" w16cid:durableId="182209786">
    <w:abstractNumId w:val="20"/>
  </w:num>
  <w:num w:numId="36" w16cid:durableId="1783525296">
    <w:abstractNumId w:val="35"/>
  </w:num>
  <w:num w:numId="37" w16cid:durableId="1951204461">
    <w:abstractNumId w:val="18"/>
  </w:num>
  <w:num w:numId="38" w16cid:durableId="1160776109">
    <w:abstractNumId w:val="9"/>
  </w:num>
  <w:num w:numId="39" w16cid:durableId="820581772">
    <w:abstractNumId w:val="37"/>
  </w:num>
  <w:num w:numId="40" w16cid:durableId="1043401901">
    <w:abstractNumId w:val="36"/>
  </w:num>
  <w:num w:numId="41" w16cid:durableId="885868729">
    <w:abstractNumId w:val="15"/>
  </w:num>
  <w:num w:numId="42" w16cid:durableId="1267155496">
    <w:abstractNumId w:val="19"/>
  </w:num>
  <w:num w:numId="43" w16cid:durableId="1454597833">
    <w:abstractNumId w:val="13"/>
  </w:num>
  <w:num w:numId="44" w16cid:durableId="983969326">
    <w:abstractNumId w:val="42"/>
  </w:num>
  <w:num w:numId="45" w16cid:durableId="1123230539">
    <w:abstractNumId w:val="25"/>
  </w:num>
  <w:num w:numId="46" w16cid:durableId="150803033">
    <w:abstractNumId w:val="32"/>
  </w:num>
  <w:num w:numId="47" w16cid:durableId="14429933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a3MDQwMrYwNDIztzBW0lEKTi0uzszPAykwqgUAOsZZlywAAAA="/>
  </w:docVars>
  <w:rsids>
    <w:rsidRoot w:val="00ED2F87"/>
    <w:rsid w:val="0000020A"/>
    <w:rsid w:val="00002018"/>
    <w:rsid w:val="00007268"/>
    <w:rsid w:val="00007859"/>
    <w:rsid w:val="00012158"/>
    <w:rsid w:val="00021659"/>
    <w:rsid w:val="00026A27"/>
    <w:rsid w:val="000336F8"/>
    <w:rsid w:val="000440EC"/>
    <w:rsid w:val="00045C83"/>
    <w:rsid w:val="00055DB5"/>
    <w:rsid w:val="00060747"/>
    <w:rsid w:val="0008014F"/>
    <w:rsid w:val="000934CD"/>
    <w:rsid w:val="00095C8D"/>
    <w:rsid w:val="000A1755"/>
    <w:rsid w:val="000B2EBE"/>
    <w:rsid w:val="000B4826"/>
    <w:rsid w:val="000C55C6"/>
    <w:rsid w:val="000C5AFD"/>
    <w:rsid w:val="000C7E11"/>
    <w:rsid w:val="000E28E5"/>
    <w:rsid w:val="000F1D50"/>
    <w:rsid w:val="000F1D70"/>
    <w:rsid w:val="000F303C"/>
    <w:rsid w:val="000F513A"/>
    <w:rsid w:val="000F6AD5"/>
    <w:rsid w:val="001004E9"/>
    <w:rsid w:val="00100AF4"/>
    <w:rsid w:val="00101CCB"/>
    <w:rsid w:val="00110C48"/>
    <w:rsid w:val="0011645A"/>
    <w:rsid w:val="00116923"/>
    <w:rsid w:val="00116F1A"/>
    <w:rsid w:val="00117BEE"/>
    <w:rsid w:val="00125A00"/>
    <w:rsid w:val="00136FA0"/>
    <w:rsid w:val="00147D41"/>
    <w:rsid w:val="00150B76"/>
    <w:rsid w:val="0016088F"/>
    <w:rsid w:val="001636D2"/>
    <w:rsid w:val="00166526"/>
    <w:rsid w:val="00166BF1"/>
    <w:rsid w:val="001715E2"/>
    <w:rsid w:val="00177C7D"/>
    <w:rsid w:val="001A3D07"/>
    <w:rsid w:val="001A45DA"/>
    <w:rsid w:val="001A6C3D"/>
    <w:rsid w:val="001B36DF"/>
    <w:rsid w:val="001B4769"/>
    <w:rsid w:val="001B4856"/>
    <w:rsid w:val="001B57D3"/>
    <w:rsid w:val="001C3254"/>
    <w:rsid w:val="001C7585"/>
    <w:rsid w:val="001D1625"/>
    <w:rsid w:val="001F1C84"/>
    <w:rsid w:val="001F5202"/>
    <w:rsid w:val="00211E28"/>
    <w:rsid w:val="00222020"/>
    <w:rsid w:val="00240A58"/>
    <w:rsid w:val="00241E73"/>
    <w:rsid w:val="00243845"/>
    <w:rsid w:val="0025176E"/>
    <w:rsid w:val="00253B86"/>
    <w:rsid w:val="0026292C"/>
    <w:rsid w:val="00270EA9"/>
    <w:rsid w:val="00272BF9"/>
    <w:rsid w:val="00273600"/>
    <w:rsid w:val="00286E78"/>
    <w:rsid w:val="00290A6F"/>
    <w:rsid w:val="00291EA0"/>
    <w:rsid w:val="00292DC9"/>
    <w:rsid w:val="002B12A2"/>
    <w:rsid w:val="002B49F7"/>
    <w:rsid w:val="002B609C"/>
    <w:rsid w:val="002C0ABB"/>
    <w:rsid w:val="002C50A6"/>
    <w:rsid w:val="002D3B81"/>
    <w:rsid w:val="002D467E"/>
    <w:rsid w:val="002E4626"/>
    <w:rsid w:val="002E5524"/>
    <w:rsid w:val="002E5DFC"/>
    <w:rsid w:val="002E5E7D"/>
    <w:rsid w:val="002F0B3D"/>
    <w:rsid w:val="002F6188"/>
    <w:rsid w:val="00300889"/>
    <w:rsid w:val="00311C5F"/>
    <w:rsid w:val="00315CC3"/>
    <w:rsid w:val="00321AEF"/>
    <w:rsid w:val="00323BC9"/>
    <w:rsid w:val="003240AE"/>
    <w:rsid w:val="00335453"/>
    <w:rsid w:val="003400E9"/>
    <w:rsid w:val="00345FC1"/>
    <w:rsid w:val="00355BDC"/>
    <w:rsid w:val="00356CA0"/>
    <w:rsid w:val="0037108E"/>
    <w:rsid w:val="00373557"/>
    <w:rsid w:val="0037776A"/>
    <w:rsid w:val="00391A74"/>
    <w:rsid w:val="003B0A24"/>
    <w:rsid w:val="003B1AE7"/>
    <w:rsid w:val="003C027E"/>
    <w:rsid w:val="003C379D"/>
    <w:rsid w:val="003D18DD"/>
    <w:rsid w:val="003D7007"/>
    <w:rsid w:val="003E1973"/>
    <w:rsid w:val="003E4A66"/>
    <w:rsid w:val="003E712D"/>
    <w:rsid w:val="003E768C"/>
    <w:rsid w:val="003F6E2B"/>
    <w:rsid w:val="004033EE"/>
    <w:rsid w:val="004203DE"/>
    <w:rsid w:val="004212DA"/>
    <w:rsid w:val="004218BE"/>
    <w:rsid w:val="00427DB6"/>
    <w:rsid w:val="004317D6"/>
    <w:rsid w:val="00434D69"/>
    <w:rsid w:val="0043738A"/>
    <w:rsid w:val="0044075A"/>
    <w:rsid w:val="00441E84"/>
    <w:rsid w:val="004568F9"/>
    <w:rsid w:val="00463904"/>
    <w:rsid w:val="00475F4F"/>
    <w:rsid w:val="00481145"/>
    <w:rsid w:val="00485855"/>
    <w:rsid w:val="00493BCF"/>
    <w:rsid w:val="00495772"/>
    <w:rsid w:val="00495B78"/>
    <w:rsid w:val="004B0773"/>
    <w:rsid w:val="004C0C38"/>
    <w:rsid w:val="004C296B"/>
    <w:rsid w:val="004D1F97"/>
    <w:rsid w:val="004D404D"/>
    <w:rsid w:val="004D450C"/>
    <w:rsid w:val="004E2DCA"/>
    <w:rsid w:val="004F59D2"/>
    <w:rsid w:val="004F62C0"/>
    <w:rsid w:val="00514E9F"/>
    <w:rsid w:val="00515283"/>
    <w:rsid w:val="0052200B"/>
    <w:rsid w:val="005344A8"/>
    <w:rsid w:val="00535EAB"/>
    <w:rsid w:val="00544B57"/>
    <w:rsid w:val="0055358C"/>
    <w:rsid w:val="00554647"/>
    <w:rsid w:val="00554737"/>
    <w:rsid w:val="00556010"/>
    <w:rsid w:val="005647D7"/>
    <w:rsid w:val="00566132"/>
    <w:rsid w:val="00566EA2"/>
    <w:rsid w:val="00595654"/>
    <w:rsid w:val="005A52C6"/>
    <w:rsid w:val="005A5A08"/>
    <w:rsid w:val="005B5C06"/>
    <w:rsid w:val="005B7315"/>
    <w:rsid w:val="005C4E64"/>
    <w:rsid w:val="005D4205"/>
    <w:rsid w:val="005D7881"/>
    <w:rsid w:val="005E4C1A"/>
    <w:rsid w:val="005E5254"/>
    <w:rsid w:val="005E6B5E"/>
    <w:rsid w:val="005F0E2A"/>
    <w:rsid w:val="005F2725"/>
    <w:rsid w:val="00603CB7"/>
    <w:rsid w:val="00603E28"/>
    <w:rsid w:val="00613E75"/>
    <w:rsid w:val="00615446"/>
    <w:rsid w:val="00617CBE"/>
    <w:rsid w:val="00627252"/>
    <w:rsid w:val="00634F78"/>
    <w:rsid w:val="0064310E"/>
    <w:rsid w:val="006439A9"/>
    <w:rsid w:val="00647D3B"/>
    <w:rsid w:val="00653B35"/>
    <w:rsid w:val="006618A2"/>
    <w:rsid w:val="00674671"/>
    <w:rsid w:val="00683918"/>
    <w:rsid w:val="00684847"/>
    <w:rsid w:val="00685812"/>
    <w:rsid w:val="00687633"/>
    <w:rsid w:val="006904C8"/>
    <w:rsid w:val="006936BC"/>
    <w:rsid w:val="00696AF2"/>
    <w:rsid w:val="006A5A35"/>
    <w:rsid w:val="006A73EF"/>
    <w:rsid w:val="006C31F5"/>
    <w:rsid w:val="006C6F9F"/>
    <w:rsid w:val="006D2747"/>
    <w:rsid w:val="006E27FE"/>
    <w:rsid w:val="006E3451"/>
    <w:rsid w:val="006F1CB9"/>
    <w:rsid w:val="006F47D9"/>
    <w:rsid w:val="007130D6"/>
    <w:rsid w:val="00713C7C"/>
    <w:rsid w:val="00722084"/>
    <w:rsid w:val="00722C08"/>
    <w:rsid w:val="00726C8A"/>
    <w:rsid w:val="00726F6D"/>
    <w:rsid w:val="007313CE"/>
    <w:rsid w:val="007329D1"/>
    <w:rsid w:val="0073498A"/>
    <w:rsid w:val="00742954"/>
    <w:rsid w:val="007443B9"/>
    <w:rsid w:val="00744DF8"/>
    <w:rsid w:val="00750B87"/>
    <w:rsid w:val="0076061D"/>
    <w:rsid w:val="00761FA8"/>
    <w:rsid w:val="007707C0"/>
    <w:rsid w:val="00773AC2"/>
    <w:rsid w:val="007857EE"/>
    <w:rsid w:val="00787327"/>
    <w:rsid w:val="00791EE2"/>
    <w:rsid w:val="00792464"/>
    <w:rsid w:val="00793965"/>
    <w:rsid w:val="007943B9"/>
    <w:rsid w:val="00797FF7"/>
    <w:rsid w:val="007C41FE"/>
    <w:rsid w:val="007C751E"/>
    <w:rsid w:val="007D19D2"/>
    <w:rsid w:val="007D3340"/>
    <w:rsid w:val="007E6900"/>
    <w:rsid w:val="007F63D8"/>
    <w:rsid w:val="007F7F56"/>
    <w:rsid w:val="0080230F"/>
    <w:rsid w:val="00811F11"/>
    <w:rsid w:val="008453E4"/>
    <w:rsid w:val="0085134A"/>
    <w:rsid w:val="00853659"/>
    <w:rsid w:val="008551F4"/>
    <w:rsid w:val="00856516"/>
    <w:rsid w:val="008658B3"/>
    <w:rsid w:val="00866213"/>
    <w:rsid w:val="00875BBF"/>
    <w:rsid w:val="00880661"/>
    <w:rsid w:val="00881054"/>
    <w:rsid w:val="00893D73"/>
    <w:rsid w:val="00894606"/>
    <w:rsid w:val="008949FF"/>
    <w:rsid w:val="0089606B"/>
    <w:rsid w:val="008A0D90"/>
    <w:rsid w:val="008A4673"/>
    <w:rsid w:val="008A574B"/>
    <w:rsid w:val="008B12AD"/>
    <w:rsid w:val="008B65E1"/>
    <w:rsid w:val="008C344A"/>
    <w:rsid w:val="008C44C7"/>
    <w:rsid w:val="008E1073"/>
    <w:rsid w:val="008F05F7"/>
    <w:rsid w:val="008F1615"/>
    <w:rsid w:val="008F3E53"/>
    <w:rsid w:val="008F535E"/>
    <w:rsid w:val="00902809"/>
    <w:rsid w:val="00902C28"/>
    <w:rsid w:val="00902C63"/>
    <w:rsid w:val="00903412"/>
    <w:rsid w:val="00904BB4"/>
    <w:rsid w:val="009115C9"/>
    <w:rsid w:val="009156CA"/>
    <w:rsid w:val="0092313B"/>
    <w:rsid w:val="00927530"/>
    <w:rsid w:val="009354CD"/>
    <w:rsid w:val="00936980"/>
    <w:rsid w:val="00937510"/>
    <w:rsid w:val="009411CD"/>
    <w:rsid w:val="00943217"/>
    <w:rsid w:val="00947EB4"/>
    <w:rsid w:val="00950151"/>
    <w:rsid w:val="0095525B"/>
    <w:rsid w:val="0095645D"/>
    <w:rsid w:val="00961996"/>
    <w:rsid w:val="00961B3D"/>
    <w:rsid w:val="009677FE"/>
    <w:rsid w:val="00972F63"/>
    <w:rsid w:val="00990E93"/>
    <w:rsid w:val="009938AE"/>
    <w:rsid w:val="00996D46"/>
    <w:rsid w:val="009A35CF"/>
    <w:rsid w:val="009A4D48"/>
    <w:rsid w:val="009A50ED"/>
    <w:rsid w:val="009A5F8E"/>
    <w:rsid w:val="009C16E5"/>
    <w:rsid w:val="009C416C"/>
    <w:rsid w:val="009C53E4"/>
    <w:rsid w:val="009D031D"/>
    <w:rsid w:val="009D141F"/>
    <w:rsid w:val="009D186E"/>
    <w:rsid w:val="009D2F96"/>
    <w:rsid w:val="009D5609"/>
    <w:rsid w:val="009E1B07"/>
    <w:rsid w:val="009E6393"/>
    <w:rsid w:val="009F1E57"/>
    <w:rsid w:val="009F2748"/>
    <w:rsid w:val="009F71AD"/>
    <w:rsid w:val="00A04EA3"/>
    <w:rsid w:val="00A06668"/>
    <w:rsid w:val="00A10640"/>
    <w:rsid w:val="00A10990"/>
    <w:rsid w:val="00A11665"/>
    <w:rsid w:val="00A14386"/>
    <w:rsid w:val="00A1450B"/>
    <w:rsid w:val="00A15023"/>
    <w:rsid w:val="00A150DC"/>
    <w:rsid w:val="00A20271"/>
    <w:rsid w:val="00A21605"/>
    <w:rsid w:val="00A217C1"/>
    <w:rsid w:val="00A26E0E"/>
    <w:rsid w:val="00A34415"/>
    <w:rsid w:val="00A366AF"/>
    <w:rsid w:val="00A37D46"/>
    <w:rsid w:val="00A54E23"/>
    <w:rsid w:val="00A560A7"/>
    <w:rsid w:val="00A56C52"/>
    <w:rsid w:val="00A57B25"/>
    <w:rsid w:val="00A7162C"/>
    <w:rsid w:val="00A74526"/>
    <w:rsid w:val="00A769D8"/>
    <w:rsid w:val="00A83E14"/>
    <w:rsid w:val="00A934A2"/>
    <w:rsid w:val="00AA2C32"/>
    <w:rsid w:val="00AB2145"/>
    <w:rsid w:val="00AB5EB0"/>
    <w:rsid w:val="00AD1DCA"/>
    <w:rsid w:val="00AE4EFD"/>
    <w:rsid w:val="00B03A21"/>
    <w:rsid w:val="00B06533"/>
    <w:rsid w:val="00B1361D"/>
    <w:rsid w:val="00B14064"/>
    <w:rsid w:val="00B22A99"/>
    <w:rsid w:val="00B273E8"/>
    <w:rsid w:val="00B41A2F"/>
    <w:rsid w:val="00B44C7D"/>
    <w:rsid w:val="00B5267B"/>
    <w:rsid w:val="00B53DF7"/>
    <w:rsid w:val="00B57040"/>
    <w:rsid w:val="00B66BB3"/>
    <w:rsid w:val="00B66C19"/>
    <w:rsid w:val="00B75BDC"/>
    <w:rsid w:val="00B774FA"/>
    <w:rsid w:val="00BA1722"/>
    <w:rsid w:val="00BA63AF"/>
    <w:rsid w:val="00BA7DBE"/>
    <w:rsid w:val="00BB2A7D"/>
    <w:rsid w:val="00BB6997"/>
    <w:rsid w:val="00BC025F"/>
    <w:rsid w:val="00BD6CE7"/>
    <w:rsid w:val="00BE4AC9"/>
    <w:rsid w:val="00BE5C18"/>
    <w:rsid w:val="00BF06B0"/>
    <w:rsid w:val="00BF06E7"/>
    <w:rsid w:val="00BF0DF7"/>
    <w:rsid w:val="00BF1B07"/>
    <w:rsid w:val="00BF40B0"/>
    <w:rsid w:val="00C06093"/>
    <w:rsid w:val="00C15BD8"/>
    <w:rsid w:val="00C16143"/>
    <w:rsid w:val="00C1630D"/>
    <w:rsid w:val="00C20D81"/>
    <w:rsid w:val="00C23AFD"/>
    <w:rsid w:val="00C32BBA"/>
    <w:rsid w:val="00C46DE7"/>
    <w:rsid w:val="00C55466"/>
    <w:rsid w:val="00C61819"/>
    <w:rsid w:val="00C63171"/>
    <w:rsid w:val="00C67125"/>
    <w:rsid w:val="00C7207B"/>
    <w:rsid w:val="00C73957"/>
    <w:rsid w:val="00C7452F"/>
    <w:rsid w:val="00C775F7"/>
    <w:rsid w:val="00C84842"/>
    <w:rsid w:val="00C85F4E"/>
    <w:rsid w:val="00C8618D"/>
    <w:rsid w:val="00C93C9B"/>
    <w:rsid w:val="00C93F8C"/>
    <w:rsid w:val="00C96F1A"/>
    <w:rsid w:val="00C97338"/>
    <w:rsid w:val="00CA08E6"/>
    <w:rsid w:val="00CC3814"/>
    <w:rsid w:val="00CC61BD"/>
    <w:rsid w:val="00CC6932"/>
    <w:rsid w:val="00CD12EB"/>
    <w:rsid w:val="00CF774D"/>
    <w:rsid w:val="00D0101B"/>
    <w:rsid w:val="00D0420A"/>
    <w:rsid w:val="00D051E3"/>
    <w:rsid w:val="00D12AB8"/>
    <w:rsid w:val="00D15FDA"/>
    <w:rsid w:val="00D2431B"/>
    <w:rsid w:val="00D31546"/>
    <w:rsid w:val="00D3727D"/>
    <w:rsid w:val="00D42131"/>
    <w:rsid w:val="00D42ED2"/>
    <w:rsid w:val="00D448A0"/>
    <w:rsid w:val="00D6550B"/>
    <w:rsid w:val="00D70AE5"/>
    <w:rsid w:val="00D7202B"/>
    <w:rsid w:val="00D75AA3"/>
    <w:rsid w:val="00D75B9B"/>
    <w:rsid w:val="00D854F3"/>
    <w:rsid w:val="00D90366"/>
    <w:rsid w:val="00DA0191"/>
    <w:rsid w:val="00DC104A"/>
    <w:rsid w:val="00DC775B"/>
    <w:rsid w:val="00DD1CE8"/>
    <w:rsid w:val="00DD370F"/>
    <w:rsid w:val="00DE0285"/>
    <w:rsid w:val="00DF1819"/>
    <w:rsid w:val="00DF40FA"/>
    <w:rsid w:val="00DF5759"/>
    <w:rsid w:val="00DF5CA7"/>
    <w:rsid w:val="00DF70EC"/>
    <w:rsid w:val="00DF76E7"/>
    <w:rsid w:val="00E04B9A"/>
    <w:rsid w:val="00E0629B"/>
    <w:rsid w:val="00E2361F"/>
    <w:rsid w:val="00E24646"/>
    <w:rsid w:val="00E55B2B"/>
    <w:rsid w:val="00E70AD1"/>
    <w:rsid w:val="00E83F2E"/>
    <w:rsid w:val="00EA1C19"/>
    <w:rsid w:val="00EA2394"/>
    <w:rsid w:val="00EB22B6"/>
    <w:rsid w:val="00EB2A4C"/>
    <w:rsid w:val="00EB4722"/>
    <w:rsid w:val="00EB5995"/>
    <w:rsid w:val="00EB5ECB"/>
    <w:rsid w:val="00EC1AC5"/>
    <w:rsid w:val="00ED2F87"/>
    <w:rsid w:val="00EF0972"/>
    <w:rsid w:val="00EF1960"/>
    <w:rsid w:val="00EF49DA"/>
    <w:rsid w:val="00EF6D66"/>
    <w:rsid w:val="00F1218D"/>
    <w:rsid w:val="00F24B36"/>
    <w:rsid w:val="00F25CAE"/>
    <w:rsid w:val="00F2610A"/>
    <w:rsid w:val="00F26B56"/>
    <w:rsid w:val="00F27DAC"/>
    <w:rsid w:val="00F312F7"/>
    <w:rsid w:val="00F34CE2"/>
    <w:rsid w:val="00F3691F"/>
    <w:rsid w:val="00F45779"/>
    <w:rsid w:val="00F47659"/>
    <w:rsid w:val="00F534F8"/>
    <w:rsid w:val="00F5651E"/>
    <w:rsid w:val="00F60CF4"/>
    <w:rsid w:val="00F71EF7"/>
    <w:rsid w:val="00F74170"/>
    <w:rsid w:val="00F82512"/>
    <w:rsid w:val="00F853EC"/>
    <w:rsid w:val="00FC06D4"/>
    <w:rsid w:val="00FC191B"/>
    <w:rsid w:val="00FC4DAB"/>
    <w:rsid w:val="00FE6A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BF094"/>
  <w15:chartTrackingRefBased/>
  <w15:docId w15:val="{8BF1EC14-9F6D-46E8-934C-F7AC67D5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23"/>
  </w:style>
  <w:style w:type="paragraph" w:styleId="Heading1">
    <w:name w:val="heading 1"/>
    <w:basedOn w:val="ListParagraph"/>
    <w:next w:val="Normal"/>
    <w:link w:val="Heading1Char"/>
    <w:uiPriority w:val="9"/>
    <w:qFormat/>
    <w:rsid w:val="009411CD"/>
    <w:pPr>
      <w:keepNext/>
      <w:keepLines/>
      <w:numPr>
        <w:numId w:val="0"/>
      </w:numPr>
      <w:pBdr>
        <w:bottom w:val="single" w:sz="12" w:space="1" w:color="000000" w:themeColor="text1"/>
      </w:pBdr>
      <w:spacing w:before="240"/>
      <w:contextualSpacing w:val="0"/>
      <w:outlineLvl w:val="0"/>
    </w:pPr>
    <w:rPr>
      <w:rFonts w:asciiTheme="majorHAnsi" w:hAnsiTheme="majorHAnsi"/>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9411CD"/>
    <w:rPr>
      <w:rFonts w:asciiTheme="majorHAnsi" w:hAnsiTheme="majorHAnsi"/>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F3691F"/>
    <w:pPr>
      <w:numPr>
        <w:numId w:val="12"/>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5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rPr>
      <w:sz w:val="24"/>
    </w:rPr>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6E3451"/>
    <w:pPr>
      <w:tabs>
        <w:tab w:val="right" w:leader="dot" w:pos="10070"/>
      </w:tabs>
      <w:spacing w:after="100"/>
      <w:ind w:left="480"/>
    </w:pPr>
    <w:rPr>
      <w:noProof/>
    </w:rPr>
  </w:style>
  <w:style w:type="paragraph" w:styleId="TOCHeading">
    <w:name w:val="TOC Heading"/>
    <w:basedOn w:val="Heading1"/>
    <w:next w:val="Normal"/>
    <w:uiPriority w:val="39"/>
    <w:unhideWhenUsed/>
    <w:qFormat/>
    <w:rsid w:val="00292DC9"/>
    <w:pPr>
      <w:pBdr>
        <w:bottom w:val="none" w:sz="0" w:space="0" w:color="auto"/>
      </w:pBdr>
      <w:suppressAutoHyphens w:val="0"/>
      <w:spacing w:after="0"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0440EC"/>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13"/>
      </w:numPr>
      <w:contextualSpacing/>
    </w:pPr>
  </w:style>
  <w:style w:type="paragraph" w:styleId="FootnoteText">
    <w:name w:val="footnote text"/>
    <w:basedOn w:val="Normal"/>
    <w:link w:val="FootnoteTextChar"/>
    <w:uiPriority w:val="99"/>
    <w:unhideWhenUsed/>
    <w:qFormat/>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character" w:styleId="UnresolvedMention">
    <w:name w:val="Unresolved Mention"/>
    <w:basedOn w:val="DefaultParagraphFont"/>
    <w:uiPriority w:val="99"/>
    <w:semiHidden/>
    <w:unhideWhenUsed/>
    <w:rsid w:val="00BA1722"/>
    <w:rPr>
      <w:color w:val="808080"/>
      <w:shd w:val="clear" w:color="auto" w:fill="E6E6E6"/>
    </w:rPr>
  </w:style>
  <w:style w:type="paragraph" w:customStyle="1" w:styleId="Default">
    <w:name w:val="Default"/>
    <w:rsid w:val="003400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5">
    <w:name w:val="CM55"/>
    <w:basedOn w:val="Default"/>
    <w:next w:val="Default"/>
    <w:uiPriority w:val="99"/>
    <w:rsid w:val="003400E9"/>
    <w:rPr>
      <w:color w:val="auto"/>
    </w:rPr>
  </w:style>
  <w:style w:type="character" w:customStyle="1" w:styleId="null1">
    <w:name w:val="null1"/>
    <w:basedOn w:val="DefaultParagraphFont"/>
    <w:rsid w:val="004B0773"/>
  </w:style>
  <w:style w:type="paragraph" w:customStyle="1" w:styleId="null">
    <w:name w:val="null"/>
    <w:basedOn w:val="Normal"/>
    <w:rsid w:val="004B0773"/>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DF1819"/>
    <w:rPr>
      <w:color w:val="800080" w:themeColor="followedHyperlink"/>
      <w:u w:val="single"/>
    </w:rPr>
  </w:style>
  <w:style w:type="paragraph" w:styleId="Revision">
    <w:name w:val="Revision"/>
    <w:hidden/>
    <w:uiPriority w:val="99"/>
    <w:semiHidden/>
    <w:rsid w:val="00C745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277">
      <w:bodyDiv w:val="1"/>
      <w:marLeft w:val="0"/>
      <w:marRight w:val="0"/>
      <w:marTop w:val="0"/>
      <w:marBottom w:val="0"/>
      <w:divBdr>
        <w:top w:val="none" w:sz="0" w:space="0" w:color="auto"/>
        <w:left w:val="none" w:sz="0" w:space="0" w:color="auto"/>
        <w:bottom w:val="none" w:sz="0" w:space="0" w:color="auto"/>
        <w:right w:val="none" w:sz="0" w:space="0" w:color="auto"/>
      </w:divBdr>
    </w:div>
    <w:div w:id="117723609">
      <w:bodyDiv w:val="1"/>
      <w:marLeft w:val="0"/>
      <w:marRight w:val="0"/>
      <w:marTop w:val="0"/>
      <w:marBottom w:val="0"/>
      <w:divBdr>
        <w:top w:val="none" w:sz="0" w:space="0" w:color="auto"/>
        <w:left w:val="none" w:sz="0" w:space="0" w:color="auto"/>
        <w:bottom w:val="none" w:sz="0" w:space="0" w:color="auto"/>
        <w:right w:val="none" w:sz="0" w:space="0" w:color="auto"/>
      </w:divBdr>
    </w:div>
    <w:div w:id="1296451621">
      <w:bodyDiv w:val="1"/>
      <w:marLeft w:val="0"/>
      <w:marRight w:val="0"/>
      <w:marTop w:val="0"/>
      <w:marBottom w:val="0"/>
      <w:divBdr>
        <w:top w:val="none" w:sz="0" w:space="0" w:color="auto"/>
        <w:left w:val="none" w:sz="0" w:space="0" w:color="auto"/>
        <w:bottom w:val="none" w:sz="0" w:space="0" w:color="auto"/>
        <w:right w:val="none" w:sz="0" w:space="0" w:color="auto"/>
      </w:divBdr>
    </w:div>
    <w:div w:id="1669748617">
      <w:bodyDiv w:val="1"/>
      <w:marLeft w:val="0"/>
      <w:marRight w:val="0"/>
      <w:marTop w:val="0"/>
      <w:marBottom w:val="0"/>
      <w:divBdr>
        <w:top w:val="none" w:sz="0" w:space="0" w:color="auto"/>
        <w:left w:val="none" w:sz="0" w:space="0" w:color="auto"/>
        <w:bottom w:val="none" w:sz="0" w:space="0" w:color="auto"/>
        <w:right w:val="none" w:sz="0" w:space="0" w:color="auto"/>
      </w:divBdr>
    </w:div>
    <w:div w:id="1896306471">
      <w:bodyDiv w:val="1"/>
      <w:marLeft w:val="0"/>
      <w:marRight w:val="0"/>
      <w:marTop w:val="0"/>
      <w:marBottom w:val="0"/>
      <w:divBdr>
        <w:top w:val="none" w:sz="0" w:space="0" w:color="auto"/>
        <w:left w:val="none" w:sz="0" w:space="0" w:color="auto"/>
        <w:bottom w:val="none" w:sz="0" w:space="0" w:color="auto"/>
        <w:right w:val="none" w:sz="0" w:space="0" w:color="auto"/>
      </w:divBdr>
    </w:div>
    <w:div w:id="21130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cc.org/Reliability/WECC-0141%20FAC-501-WECC-3%20Transmission%20Maintenance%20-%20Attachment%20B%20-%20Standard%20Authorization%20Request%20-%20Final.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MW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usiness_Case.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3104</AccountId>
        <AccountType/>
      </UserInfo>
    </Approver>
    <_dlc_DocId xmlns="4bd63098-0c83-43cf-abdd-085f2cc55a51">YWEQ7USXTMD7-3-13842</_dlc_DocId>
    <_dlc_DocIdUrl xmlns="4bd63098-0c83-43cf-abdd-085f2cc55a51">
      <Url>https://internal.wecc.org/_layouts/15/DocIdRedir.aspx?ID=YWEQ7USXTMD7-3-13842</Url>
      <Description>YWEQ7USXTMD7-3-13842</Description>
    </_dlc_DocIdUrl>
    <Jurisdiction xmlns="2fb8a92a-9032-49d6-b983-191f0a73b01f"/>
    <Standard_x0020_Family xmlns="2fb8a92a-9032-49d6-b983-191f0a73b01f">FAC</Standard_x0020_Family>
    <Adopted_x002f_Approved_x0020_By xmlns="2fb8a92a-9032-49d6-b983-191f0a73b01f">WSC</Adopted_x002f_Approved_x0020_By>
    <Other_x0020_Reliability_x0020_Documents xmlns="2fb8a92a-9032-49d6-b983-191f0a73b01f"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33B00-6A3B-4B8E-8370-8F1C84AE75C4}"/>
</file>

<file path=customXml/itemProps2.xml><?xml version="1.0" encoding="utf-8"?>
<ds:datastoreItem xmlns:ds="http://schemas.openxmlformats.org/officeDocument/2006/customXml" ds:itemID="{A122720E-6660-4B48-9832-2C290E65D44A}">
  <ds:schemaRefs>
    <ds:schemaRef ds:uri="http://schemas.openxmlformats.org/officeDocument/2006/bibliography"/>
  </ds:schemaRefs>
</ds:datastoreItem>
</file>

<file path=customXml/itemProps3.xml><?xml version="1.0" encoding="utf-8"?>
<ds:datastoreItem xmlns:ds="http://schemas.openxmlformats.org/officeDocument/2006/customXml" ds:itemID="{336F543A-3944-434C-A29D-AAE4045B7E23}">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4.xml><?xml version="1.0" encoding="utf-8"?>
<ds:datastoreItem xmlns:ds="http://schemas.openxmlformats.org/officeDocument/2006/customXml" ds:itemID="{4DF09FB3-16E2-4DA5-A35F-81044E7F9E7A}">
  <ds:schemaRefs>
    <ds:schemaRef ds:uri="http://schemas.microsoft.com/sharepoint/events"/>
  </ds:schemaRefs>
</ds:datastoreItem>
</file>

<file path=customXml/itemProps5.xml><?xml version="1.0" encoding="utf-8"?>
<ds:datastoreItem xmlns:ds="http://schemas.openxmlformats.org/officeDocument/2006/customXml" ds:itemID="{99933705-63FD-46E5-B981-6B29F9872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Business_Case</Template>
  <TotalTime>379</TotalTime>
  <Pages>12</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WECC-0141 FAC-501-WECC Posting 2 White Paper - Retire or Modify - Final</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O Guidance White Paper</dc:title>
  <dc:subject/>
  <dc:creator>Black, Shannon</dc:creator>
  <cp:keywords>NERCFilings; WECC-0149; NERC Filings</cp:keywords>
  <dc:description/>
  <cp:lastModifiedBy>Rueckert, Steve</cp:lastModifiedBy>
  <cp:revision>4</cp:revision>
  <cp:lastPrinted>2020-12-07T20:13:00Z</cp:lastPrinted>
  <dcterms:created xsi:type="dcterms:W3CDTF">2023-10-26T19:14:00Z</dcterms:created>
  <dcterms:modified xsi:type="dcterms:W3CDTF">2024-02-23T23:06:00Z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c4d36e9b-9586-46cb-afb7-2230967ba40e</vt:lpwstr>
  </property>
  <property fmtid="{D5CDD505-2E9C-101B-9397-08002B2CF9AE}" pid="4" name="TaxKeyword">
    <vt:lpwstr>2282;#WECC-0149|aeb87f78-01e4-41a0-a32d-bb9fb8183042;#2419;#NERCFilings|0e89d8f0-e018-45cc-b5bf-f537405b2363;#1539;#NERC Filings|38da0236-f1a7-4cb0-b512-0acfdf6fb813</vt:lpwstr>
  </property>
  <property fmtid="{D5CDD505-2E9C-101B-9397-08002B2CF9AE}" pid="5" name="ClassificationContentMarkingHeaderShapeIds">
    <vt:lpwstr>1,3,5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2023-07-10T20:41:10Z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7c24b5a8-6835-4629-8b86-8f269cb5c158</vt:lpwstr>
  </property>
  <property fmtid="{D5CDD505-2E9C-101B-9397-08002B2CF9AE}" pid="14" name="MSIP_Label_878e9819-3d07-47f7-9697-834686d925a0_ContentBits">
    <vt:lpwstr>1</vt:lpwstr>
  </property>
  <property fmtid="{D5CDD505-2E9C-101B-9397-08002B2CF9AE}" pid="15" name="Document Date">
    <vt:filetime>2020-12-10T07:00:00Z</vt:filetime>
  </property>
  <property fmtid="{D5CDD505-2E9C-101B-9397-08002B2CF9AE}" pid="16" name="Reliability Standard Type">
    <vt:lpwstr>Regional</vt:lpwstr>
  </property>
  <property fmtid="{D5CDD505-2E9C-101B-9397-08002B2CF9AE}" pid="18" name="Effective Date">
    <vt:filetime>2020-12-10T07:00:00Z</vt:filetime>
  </property>
  <property fmtid="{D5CDD505-2E9C-101B-9397-08002B2CF9AE}" pid="19" name="Approved Date">
    <vt:filetime>2021-02-03T07:00:00Z</vt:filetime>
  </property>
</Properties>
</file>