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50C2" w14:textId="6CEBE74A" w:rsidR="00C05765" w:rsidRDefault="003B0FC3" w:rsidP="00111600">
      <w:pPr>
        <w:ind w:left="2520" w:hanging="2520"/>
      </w:pPr>
      <w:r>
        <w:t>Ballot Name:</w:t>
      </w:r>
      <w:r>
        <w:tab/>
      </w:r>
      <w:r w:rsidR="003472A3" w:rsidRPr="003472A3">
        <w:t>Major WECC Transfer Paths in the Bulk Electric System</w:t>
      </w:r>
      <w:r w:rsidR="00070F59">
        <w:t>—</w:t>
      </w:r>
      <w:r w:rsidR="003472A3" w:rsidRPr="003472A3">
        <w:t>Path List Revision Process</w:t>
      </w:r>
    </w:p>
    <w:p w14:paraId="3DA2D042" w14:textId="13402262" w:rsidR="00F0162A" w:rsidRDefault="003B0FC3" w:rsidP="003E15BF">
      <w:pPr>
        <w:ind w:left="2520" w:hanging="2520"/>
      </w:pPr>
      <w:r>
        <w:t>Overview:</w:t>
      </w:r>
      <w:r>
        <w:tab/>
      </w:r>
      <w:r w:rsidR="00EC42E5" w:rsidRPr="00EC42E5">
        <w:rPr>
          <w:sz w:val="20"/>
          <w:szCs w:val="20"/>
        </w:rPr>
        <w:t>This project builds on changes approved in WECC-0141, FAC-501-WECC-3, Transmission Maintenance. The project is designed to streamline the implementation of WECC-0141 by shifting implementation away from NERC and back to WECC.</w:t>
      </w:r>
      <w:r w:rsidR="00EC42E5" w:rsidRPr="00EC42E5">
        <w:t xml:space="preserve"> </w:t>
      </w:r>
      <w:r w:rsidR="00EC42E5" w:rsidRPr="00EC42E5">
        <w:rPr>
          <w:sz w:val="20"/>
          <w:szCs w:val="20"/>
        </w:rPr>
        <w:t xml:space="preserve">This project’s goal is to: 1) revert to the FAC-501-WECC-2, Attachment B title, 2) modify FAC-501-WECC-3, Attachment C, Revision Process sufficiently to address all regional and continent-wide Standards wherein the </w:t>
      </w:r>
      <w:r w:rsidR="00FD07D8">
        <w:rPr>
          <w:sz w:val="20"/>
          <w:szCs w:val="20"/>
        </w:rPr>
        <w:t>list of paths i</w:t>
      </w:r>
      <w:r w:rsidR="00EC42E5" w:rsidRPr="00EC42E5">
        <w:rPr>
          <w:sz w:val="20"/>
          <w:szCs w:val="20"/>
        </w:rPr>
        <w:t xml:space="preserve">s referred, and 3) create a single source </w:t>
      </w:r>
      <w:r w:rsidR="00FD07D8">
        <w:rPr>
          <w:sz w:val="20"/>
          <w:szCs w:val="20"/>
        </w:rPr>
        <w:t xml:space="preserve">document </w:t>
      </w:r>
      <w:r w:rsidR="00EC42E5" w:rsidRPr="00EC42E5">
        <w:rPr>
          <w:sz w:val="20"/>
          <w:szCs w:val="20"/>
        </w:rPr>
        <w:t>to be contained in the proposed Revision Process.</w:t>
      </w:r>
    </w:p>
    <w:p w14:paraId="2A1C4D25" w14:textId="796E26C7" w:rsidR="00F0162A" w:rsidRDefault="00F0162A" w:rsidP="003B0FC3">
      <w:pPr>
        <w:tabs>
          <w:tab w:val="left" w:pos="2520"/>
          <w:tab w:val="left" w:pos="4680"/>
          <w:tab w:val="left" w:pos="7200"/>
        </w:tabs>
      </w:pPr>
      <w:r>
        <w:t>Ballot Pool Open:</w:t>
      </w:r>
      <w:r>
        <w:tab/>
      </w:r>
      <w:r w:rsidR="00EC42E5" w:rsidRPr="00EC42E5">
        <w:t>12/20/2022</w:t>
      </w:r>
      <w:r w:rsidR="003B0FC3">
        <w:tab/>
        <w:t>Ballot Pool Closed</w:t>
      </w:r>
      <w:r>
        <w:t>:</w:t>
      </w:r>
      <w:r>
        <w:tab/>
      </w:r>
      <w:r w:rsidR="00EC42E5" w:rsidRPr="00EC42E5">
        <w:t>01/18/2023</w:t>
      </w:r>
    </w:p>
    <w:p w14:paraId="1AC83DC4" w14:textId="7B17D1D0" w:rsidR="00F0162A" w:rsidRDefault="003B0FC3" w:rsidP="003B0FC3">
      <w:pPr>
        <w:tabs>
          <w:tab w:val="left" w:pos="2520"/>
          <w:tab w:val="left" w:pos="4680"/>
          <w:tab w:val="left" w:pos="7200"/>
        </w:tabs>
      </w:pPr>
      <w:r>
        <w:t>Ballot Opened</w:t>
      </w:r>
      <w:r w:rsidR="00F0162A">
        <w:t>:</w:t>
      </w:r>
      <w:r w:rsidR="00F0162A">
        <w:tab/>
      </w:r>
      <w:r w:rsidR="00EC42E5" w:rsidRPr="00EC42E5">
        <w:t>01/19/2023</w:t>
      </w:r>
      <w:r>
        <w:tab/>
        <w:t>Ballot Closed:</w:t>
      </w:r>
      <w:r>
        <w:tab/>
      </w:r>
      <w:r w:rsidR="00EC42E5" w:rsidRPr="00EC42E5">
        <w:t>02/02/2023</w:t>
      </w:r>
    </w:p>
    <w:p w14:paraId="0EF639F5" w14:textId="2263DF2F" w:rsidR="00F0162A" w:rsidRDefault="003B0FC3" w:rsidP="003B0FC3">
      <w:pPr>
        <w:tabs>
          <w:tab w:val="left" w:pos="2520"/>
          <w:tab w:val="left" w:pos="4680"/>
          <w:tab w:val="left" w:pos="7200"/>
        </w:tabs>
      </w:pPr>
      <w:r>
        <w:t>Total Ballot Pool:</w:t>
      </w:r>
      <w:r>
        <w:tab/>
      </w:r>
      <w:r w:rsidR="00EC42E5">
        <w:t>26</w:t>
      </w:r>
      <w:r>
        <w:tab/>
        <w:t>Total Votes:</w:t>
      </w:r>
      <w:r>
        <w:tab/>
      </w:r>
      <w:r w:rsidR="00EC42E5">
        <w:t>22</w:t>
      </w:r>
    </w:p>
    <w:p w14:paraId="171A36DC" w14:textId="418CAF90" w:rsidR="00F0162A" w:rsidRDefault="003B0FC3" w:rsidP="003B0FC3">
      <w:pPr>
        <w:tabs>
          <w:tab w:val="left" w:pos="2520"/>
          <w:tab w:val="left" w:pos="4680"/>
          <w:tab w:val="left" w:pos="7200"/>
        </w:tabs>
      </w:pPr>
      <w:r>
        <w:t>Quorum:</w:t>
      </w:r>
      <w:r>
        <w:tab/>
      </w:r>
      <w:r w:rsidR="00EC42E5">
        <w:t>84.6</w:t>
      </w:r>
      <w:r w:rsidR="00F0162A">
        <w:t>%</w:t>
      </w:r>
      <w:r w:rsidR="00F0162A">
        <w:tab/>
        <w:t>Weighted Votes:</w:t>
      </w:r>
      <w:r w:rsidR="00F0162A">
        <w:tab/>
      </w:r>
      <w:r w:rsidR="003E15BF">
        <w:t>100</w:t>
      </w:r>
      <w:r w:rsidR="00F0162A">
        <w:t>%</w:t>
      </w:r>
    </w:p>
    <w:p w14:paraId="0C2B2157" w14:textId="48659CBD" w:rsidR="00D4397C" w:rsidRDefault="003B0FC3" w:rsidP="003B0FC3">
      <w:pPr>
        <w:tabs>
          <w:tab w:val="left" w:pos="2520"/>
          <w:tab w:val="left" w:pos="4680"/>
          <w:tab w:val="left" w:pos="7200"/>
        </w:tabs>
      </w:pPr>
      <w:r>
        <w:t>Ballot Results:</w:t>
      </w:r>
      <w:r w:rsidR="00F0162A">
        <w:tab/>
        <w:t>Pass</w:t>
      </w:r>
    </w:p>
    <w:tbl>
      <w:tblPr>
        <w:tblStyle w:val="BallotResults1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E0" w:firstRow="1" w:lastRow="1" w:firstColumn="1" w:lastColumn="0" w:noHBand="1" w:noVBand="1"/>
      </w:tblPr>
      <w:tblGrid>
        <w:gridCol w:w="2340"/>
        <w:gridCol w:w="810"/>
        <w:gridCol w:w="900"/>
        <w:gridCol w:w="810"/>
        <w:gridCol w:w="720"/>
        <w:gridCol w:w="630"/>
        <w:gridCol w:w="900"/>
        <w:gridCol w:w="630"/>
        <w:gridCol w:w="810"/>
        <w:gridCol w:w="900"/>
        <w:gridCol w:w="626"/>
      </w:tblGrid>
      <w:tr w:rsidR="00D4397C" w:rsidRPr="00D4397C" w14:paraId="386A674D" w14:textId="77777777" w:rsidTr="00F37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AAB043" w14:textId="77777777" w:rsidR="00D4397C" w:rsidRPr="00D4397C" w:rsidRDefault="00D4397C" w:rsidP="00D4397C">
            <w:pPr>
              <w:spacing w:before="60" w:after="60"/>
              <w:jc w:val="left"/>
              <w:rPr>
                <w:rFonts w:asciiTheme="majorHAnsi" w:hAnsiTheme="majorHAnsi"/>
                <w:sz w:val="20"/>
              </w:rPr>
            </w:pPr>
            <w:bookmarkStart w:id="0" w:name="_Hlk158123139"/>
            <w:r w:rsidRPr="00D4397C">
              <w:rPr>
                <w:rFonts w:asciiTheme="majorHAnsi" w:hAnsiTheme="majorHAnsi"/>
                <w:sz w:val="20"/>
              </w:rPr>
              <w:t>Voting Sectors</w:t>
            </w:r>
          </w:p>
        </w:tc>
        <w:tc>
          <w:tcPr>
            <w:tcW w:w="81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838FA3E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Total in Ballot Pool</w:t>
            </w:r>
          </w:p>
        </w:tc>
        <w:tc>
          <w:tcPr>
            <w:tcW w:w="90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CE4F8C2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In-Pool Affiliates Excluded</w:t>
            </w:r>
          </w:p>
        </w:tc>
        <w:tc>
          <w:tcPr>
            <w:tcW w:w="81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7281B53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Votes Non-Abstain</w:t>
            </w:r>
          </w:p>
        </w:tc>
        <w:tc>
          <w:tcPr>
            <w:tcW w:w="72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8ACE165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Sector Weight</w:t>
            </w:r>
          </w:p>
        </w:tc>
        <w:tc>
          <w:tcPr>
            <w:tcW w:w="63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B4FB9E9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Yes Votes</w:t>
            </w:r>
          </w:p>
        </w:tc>
        <w:tc>
          <w:tcPr>
            <w:tcW w:w="90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C9BC76F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Weighted Segment Vote</w:t>
            </w:r>
          </w:p>
        </w:tc>
        <w:tc>
          <w:tcPr>
            <w:tcW w:w="63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F3EB21C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No Votes</w:t>
            </w:r>
          </w:p>
        </w:tc>
        <w:tc>
          <w:tcPr>
            <w:tcW w:w="81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343AC45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Abstain</w:t>
            </w:r>
          </w:p>
        </w:tc>
        <w:tc>
          <w:tcPr>
            <w:tcW w:w="90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634B393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Total Votes for Quorum</w:t>
            </w:r>
          </w:p>
        </w:tc>
        <w:tc>
          <w:tcPr>
            <w:tcW w:w="626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D9E671" w14:textId="77777777" w:rsidR="00D4397C" w:rsidRPr="0082018D" w:rsidRDefault="00D4397C" w:rsidP="00D4397C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Did Not Vote</w:t>
            </w:r>
          </w:p>
        </w:tc>
      </w:tr>
      <w:tr w:rsidR="003E15BF" w:rsidRPr="00D4397C" w14:paraId="283C6D73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6509BE53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Transmission Owners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1D76FB0" w14:textId="65A3536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5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00E47E3F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8CBD90E" w14:textId="45C39366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4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1F52C156" w14:textId="7AFA88F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0.4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44CFB79D" w14:textId="78666969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4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6FC3E4CA" w14:textId="0BE6EC24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40.0%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492D02A8" w14:textId="34FDD275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ECBC8D0" w14:textId="087FA0E2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4AE3AEFA" w14:textId="234BB16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5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1BBC7760" w14:textId="29E28CB3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</w:tr>
      <w:tr w:rsidR="003E15BF" w:rsidRPr="00D4397C" w14:paraId="1447CEA5" w14:textId="77777777" w:rsidTr="001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313FAADF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 xml:space="preserve">Regional Transmission </w:t>
            </w:r>
          </w:p>
          <w:p w14:paraId="728AFB89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 xml:space="preserve">Organizations (RTO) and </w:t>
            </w:r>
          </w:p>
          <w:p w14:paraId="58E09E65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 xml:space="preserve">Independent System </w:t>
            </w:r>
          </w:p>
          <w:p w14:paraId="3C296AA0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Operators (ISO)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1BEC3F1D" w14:textId="733C6A4B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513DFDD9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2403E28" w14:textId="6FC6B315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059D5396" w14:textId="34D125F0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0.1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7F9C46CE" w14:textId="56A94506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29553836" w14:textId="36C9D30B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455A2E55" w14:textId="77B21AF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2FB04DFE" w14:textId="06C285DA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19ACDE52" w14:textId="6F95AE2B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17D9A97D" w14:textId="5C47ADB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</w:tr>
      <w:tr w:rsidR="003E15BF" w:rsidRPr="00D4397C" w14:paraId="41F223C2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21CF4631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Load-Serving Entities</w:t>
            </w:r>
            <w:r>
              <w:rPr>
                <w:rFonts w:asciiTheme="majorHAnsi" w:hAnsiTheme="majorHAnsi"/>
                <w:b w:val="0"/>
                <w:sz w:val="16"/>
                <w:szCs w:val="15"/>
              </w:rPr>
              <w:t xml:space="preserve"> (LSE)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27C48CC2" w14:textId="44E13142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5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A58C8D7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B1DBC30" w14:textId="0E2B85A6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4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3EC986B5" w14:textId="36B2EE86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0.4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54419E9A" w14:textId="09754D85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4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746E5368" w14:textId="742B9BB0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40.0%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4782B856" w14:textId="4800ADD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CE6A94F" w14:textId="5D1AEC19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7FA3562" w14:textId="6CE05BBD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5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14DEC9D8" w14:textId="762C47A2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</w:tr>
      <w:tr w:rsidR="003E15BF" w:rsidRPr="00D4397C" w14:paraId="40AE5140" w14:textId="77777777" w:rsidTr="001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01529D7A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Transmission Dependent Utilities</w:t>
            </w:r>
            <w:r>
              <w:rPr>
                <w:rFonts w:asciiTheme="majorHAnsi" w:hAnsiTheme="majorHAnsi"/>
                <w:b w:val="0"/>
                <w:sz w:val="16"/>
                <w:szCs w:val="15"/>
              </w:rPr>
              <w:t xml:space="preserve"> (TDU)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96FF62F" w14:textId="1BC51A4C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7445100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2E44FD4" w14:textId="738EA69B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1BD76843" w14:textId="429A6FB6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0.1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31C78990" w14:textId="39BC6612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4EF52E21" w14:textId="0BA488EC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2EF79982" w14:textId="42258B0B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6BC8CAD1" w14:textId="3553FF83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1119B5C8" w14:textId="727E083F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225F64E4" w14:textId="680F59E9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</w:tr>
      <w:tr w:rsidR="003E15BF" w:rsidRPr="00D4397C" w14:paraId="137DC70E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7A6FD698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Electric Generators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2F8876F6" w14:textId="2FF937C2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7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21488B05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709F583" w14:textId="06DCC77A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5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541C935B" w14:textId="5EDD370F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0.5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674DF222" w14:textId="67962CF0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5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44EE7A8" w14:textId="0746E203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50.0%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5219E1AF" w14:textId="45593301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5F3E59E" w14:textId="0A0683C2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8BCBF95" w14:textId="36F96D83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6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3C0E8129" w14:textId="19EB11BC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</w:tr>
      <w:tr w:rsidR="003E15BF" w:rsidRPr="00D4397C" w14:paraId="4DB194E8" w14:textId="77777777" w:rsidTr="001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5B4A30A9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Electricity Brokers, Aggregators, and Marketers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839B5A9" w14:textId="6A141649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2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68FAEE4E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D952556" w14:textId="1FA7E92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5DC64FDF" w14:textId="07A94A74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0.1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1BF31321" w14:textId="0499F539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573188CB" w14:textId="21613E36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2259A93E" w14:textId="2A9C616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64BE6CAA" w14:textId="4C527B32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785B97FC" w14:textId="134D1CE3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6CE2A3C4" w14:textId="1059DD46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1</w:t>
            </w:r>
          </w:p>
        </w:tc>
      </w:tr>
      <w:tr w:rsidR="003E15BF" w:rsidRPr="00D4397C" w14:paraId="0822117D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30AA681E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Large Electricity End Users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14690697" w14:textId="628A91BB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1C2E9178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18F6E6D" w14:textId="7905A1D3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368C3087" w14:textId="681E1542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3B2E7838" w14:textId="65227DAF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00C6D9A2" w14:textId="773C9450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6797D4CC" w14:textId="6A12B6EC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46CB71BF" w14:textId="6B00714B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05D79750" w14:textId="0B074A3A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3AD49342" w14:textId="31B74FD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</w:tr>
      <w:tr w:rsidR="003E15BF" w:rsidRPr="00D4397C" w14:paraId="5D574DDD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1E0598F7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Small Electricity Users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57CA0A2E" w14:textId="607EAA7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7CF5675D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6D8B6720" w14:textId="765F973C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180018B5" w14:textId="4C39D57A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56C0A8C0" w14:textId="61BF8CC0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3816B527" w14:textId="0C877D04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5A30661E" w14:textId="44D3BF12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0DCA7BA5" w14:textId="0A55ED5C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2BF62E40" w14:textId="1D7F9168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1E5927C4" w14:textId="41F9F1FC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</w:tr>
      <w:tr w:rsidR="003E15BF" w:rsidRPr="00D4397C" w14:paraId="2A203D15" w14:textId="77777777" w:rsidTr="001E35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7952F1F2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Federal, State, Provincial Regulatory, other Gov. Entities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7E18C8DF" w14:textId="2CC53B05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17DF0BE0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62D74366" w14:textId="25760CE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  <w:vAlign w:val="top"/>
          </w:tcPr>
          <w:p w14:paraId="774194A4" w14:textId="3CDABF55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29F049B2" w14:textId="2EEAF48D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0247FDB8" w14:textId="06B48271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  <w:vAlign w:val="top"/>
          </w:tcPr>
          <w:p w14:paraId="1EDD3D55" w14:textId="55FCEBE3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  <w:vAlign w:val="top"/>
          </w:tcPr>
          <w:p w14:paraId="2886B648" w14:textId="62F23E34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  <w:vAlign w:val="top"/>
          </w:tcPr>
          <w:p w14:paraId="530BAED0" w14:textId="02492976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  <w:vAlign w:val="top"/>
          </w:tcPr>
          <w:p w14:paraId="023E466C" w14:textId="4BC83BC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</w:tr>
      <w:tr w:rsidR="003E15BF" w:rsidRPr="00D4397C" w14:paraId="163FF314" w14:textId="77777777" w:rsidTr="00F370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31D409AD" w14:textId="77777777" w:rsidR="003E15BF" w:rsidRPr="00A16091" w:rsidRDefault="003E15BF" w:rsidP="003E15BF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Regional Entities</w:t>
            </w:r>
          </w:p>
        </w:tc>
        <w:tc>
          <w:tcPr>
            <w:tcW w:w="81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2E84016C" w14:textId="5BAB208F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19376254" w14:textId="7777777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81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7CC3FF09" w14:textId="4F0CECCF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061C0A43" w14:textId="3DE59964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63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7CC267E8" w14:textId="2C3A6327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491918A1" w14:textId="56FA9021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0.0%</w:t>
            </w:r>
          </w:p>
        </w:tc>
        <w:tc>
          <w:tcPr>
            <w:tcW w:w="63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62D2C150" w14:textId="65782E55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81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4A4EF852" w14:textId="4E9665BE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52994EF5" w14:textId="7ACA1551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  <w:tc>
          <w:tcPr>
            <w:tcW w:w="626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5E76FFCB" w14:textId="35A0C8D3" w:rsidR="003E15BF" w:rsidRPr="00D4397C" w:rsidRDefault="003E15BF" w:rsidP="003E15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DB4BDE">
              <w:t>0</w:t>
            </w:r>
          </w:p>
        </w:tc>
      </w:tr>
      <w:tr w:rsidR="00184878" w:rsidRPr="00D4397C" w14:paraId="680907E6" w14:textId="77777777" w:rsidTr="00F370D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2E5D020F" w14:textId="77777777" w:rsidR="003E15BF" w:rsidRPr="00D4397C" w:rsidRDefault="003E15BF" w:rsidP="003E15BF">
            <w:pPr>
              <w:spacing w:before="40" w:after="40"/>
              <w:rPr>
                <w:rFonts w:asciiTheme="majorHAnsi" w:hAnsiTheme="majorHAnsi"/>
                <w:b w:val="0"/>
                <w:color w:val="000000" w:themeColor="text1"/>
                <w:sz w:val="18"/>
                <w:szCs w:val="17"/>
              </w:rPr>
            </w:pPr>
            <w:r w:rsidRPr="00D4397C">
              <w:rPr>
                <w:rFonts w:asciiTheme="majorHAnsi" w:hAnsiTheme="majorHAnsi"/>
                <w:b w:val="0"/>
                <w:color w:val="000000" w:themeColor="text1"/>
                <w:sz w:val="16"/>
                <w:szCs w:val="17"/>
              </w:rPr>
              <w:t>Totals</w:t>
            </w:r>
          </w:p>
        </w:tc>
        <w:tc>
          <w:tcPr>
            <w:tcW w:w="81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4124D157" w14:textId="74451EFD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21</w:t>
            </w:r>
          </w:p>
        </w:tc>
        <w:tc>
          <w:tcPr>
            <w:tcW w:w="90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3C7FD2EB" w14:textId="1AC2D609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0</w:t>
            </w:r>
          </w:p>
        </w:tc>
        <w:tc>
          <w:tcPr>
            <w:tcW w:w="81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0ECB52D2" w14:textId="3F99D024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16</w:t>
            </w:r>
          </w:p>
        </w:tc>
        <w:tc>
          <w:tcPr>
            <w:tcW w:w="72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293506C6" w14:textId="0AD2C9C0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1.6</w:t>
            </w:r>
          </w:p>
        </w:tc>
        <w:tc>
          <w:tcPr>
            <w:tcW w:w="63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7251B484" w14:textId="539287F7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16</w:t>
            </w:r>
          </w:p>
        </w:tc>
        <w:tc>
          <w:tcPr>
            <w:tcW w:w="90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43871CF2" w14:textId="3776F7EE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100.0%</w:t>
            </w:r>
          </w:p>
        </w:tc>
        <w:tc>
          <w:tcPr>
            <w:tcW w:w="63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316E4675" w14:textId="6A124032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0</w:t>
            </w:r>
          </w:p>
        </w:tc>
        <w:tc>
          <w:tcPr>
            <w:tcW w:w="81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6E91C879" w14:textId="5935BD17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3</w:t>
            </w:r>
          </w:p>
        </w:tc>
        <w:tc>
          <w:tcPr>
            <w:tcW w:w="90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69C4BF38" w14:textId="7DA41004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19</w:t>
            </w:r>
          </w:p>
        </w:tc>
        <w:tc>
          <w:tcPr>
            <w:tcW w:w="626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3BE8AB86" w14:textId="1A07628A" w:rsidR="003E15BF" w:rsidRPr="00D4397C" w:rsidRDefault="003E15BF" w:rsidP="003E15B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color w:val="auto"/>
              </w:rPr>
            </w:pPr>
            <w:r w:rsidRPr="00DB4BDE">
              <w:t>2</w:t>
            </w:r>
          </w:p>
        </w:tc>
      </w:tr>
      <w:bookmarkEnd w:id="0"/>
    </w:tbl>
    <w:p w14:paraId="474D39A9" w14:textId="77777777" w:rsidR="00184878" w:rsidRPr="00F0162A" w:rsidRDefault="00184878" w:rsidP="00A3427A"/>
    <w:sectPr w:rsidR="00184878" w:rsidRPr="00F0162A" w:rsidSect="00E6056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8FE" w14:textId="77777777" w:rsidR="00CC51AB" w:rsidRDefault="00CC51AB" w:rsidP="00E60569">
      <w:r>
        <w:separator/>
      </w:r>
    </w:p>
    <w:p w14:paraId="2B6D8D7F" w14:textId="77777777" w:rsidR="00CC51AB" w:rsidRDefault="00CC51AB" w:rsidP="00E60569"/>
  </w:endnote>
  <w:endnote w:type="continuationSeparator" w:id="0">
    <w:p w14:paraId="5E103D14" w14:textId="77777777" w:rsidR="00CC51AB" w:rsidRDefault="00CC51AB" w:rsidP="00E60569">
      <w:r>
        <w:continuationSeparator/>
      </w:r>
    </w:p>
    <w:p w14:paraId="3004075A" w14:textId="77777777" w:rsidR="00CC51AB" w:rsidRDefault="00CC51AB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0CEE1C3B" w14:textId="77777777" w:rsidR="00E115FD" w:rsidRPr="00E5288E" w:rsidRDefault="00FE6A90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0DD9D88B" wp14:editId="7954FF72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D4397C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EAC42" w14:textId="77777777" w:rsidR="00323BC9" w:rsidRPr="00786381" w:rsidRDefault="00786381" w:rsidP="00786381">
    <w:pPr>
      <w:pStyle w:val="FooterPG1"/>
      <w:pBdr>
        <w:top w:val="single" w:sz="48" w:space="1" w:color="00395D" w:themeColor="accent1"/>
        <w:bottom w:val="single" w:sz="48" w:space="1" w:color="00395D" w:themeColor="accent1"/>
      </w:pBdr>
      <w:shd w:val="clear" w:color="auto" w:fill="00395D" w:themeFill="accent1"/>
      <w:rPr>
        <w:color w:val="FFFFFF" w:themeColor="background1"/>
        <w:sz w:val="22"/>
      </w:rPr>
    </w:pPr>
    <w:r w:rsidRPr="00786381">
      <w:rPr>
        <w:color w:val="FFFFFF" w:themeColor="background1"/>
        <w:sz w:val="22"/>
      </w:rPr>
      <w:t>155 North 400 West | Suite 200 | Salt Lake City, Utah 84103</w:t>
    </w:r>
    <w:r w:rsidRPr="00786381">
      <w:rPr>
        <w:color w:val="FFFFFF" w:themeColor="background1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3386" w14:textId="77777777" w:rsidR="00CC51AB" w:rsidRDefault="00CC51AB" w:rsidP="00E60569">
      <w:r>
        <w:separator/>
      </w:r>
    </w:p>
    <w:p w14:paraId="537E7358" w14:textId="77777777" w:rsidR="00CC51AB" w:rsidRDefault="00CC51AB" w:rsidP="00E60569"/>
  </w:footnote>
  <w:footnote w:type="continuationSeparator" w:id="0">
    <w:p w14:paraId="0A230479" w14:textId="77777777" w:rsidR="00CC51AB" w:rsidRDefault="00CC51AB" w:rsidP="00E60569">
      <w:r>
        <w:continuationSeparator/>
      </w:r>
    </w:p>
    <w:p w14:paraId="7C6F5950" w14:textId="77777777" w:rsidR="00CC51AB" w:rsidRDefault="00CC51AB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BF04" w14:textId="16026E3F" w:rsidR="00A3427A" w:rsidRDefault="00A3427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4C260C" wp14:editId="46B204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006CA" w14:textId="6BC150F7" w:rsidR="00A3427A" w:rsidRPr="00A3427A" w:rsidRDefault="00A3427A" w:rsidP="00A342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4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764C26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37006CA" w14:textId="6BC150F7" w:rsidR="00A3427A" w:rsidRPr="00A3427A" w:rsidRDefault="00A3427A" w:rsidP="00A342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4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5A36" w14:textId="200DB9A5" w:rsidR="00E115FD" w:rsidRPr="00354D5D" w:rsidRDefault="00A3427A" w:rsidP="00354D5D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97ABB5" wp14:editId="74F595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2ED8D5" w14:textId="784146CE" w:rsidR="00A3427A" w:rsidRPr="00A3427A" w:rsidRDefault="00A3427A" w:rsidP="00A342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4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997AB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82ED8D5" w14:textId="784146CE" w:rsidR="00A3427A" w:rsidRPr="00A3427A" w:rsidRDefault="00A3427A" w:rsidP="00A342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4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4D5D">
      <w:t>Final Ballot Results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9B48" w14:textId="44E7600A" w:rsidR="00A3427A" w:rsidRPr="00A3427A" w:rsidRDefault="00070F59" w:rsidP="00070F59">
    <w:pPr>
      <w:pStyle w:val="Header"/>
      <w:spacing w:before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8A609" wp14:editId="5310C1CB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2286000" cy="732545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27A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A74159" wp14:editId="0A5D779B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10123" w14:textId="38356093" w:rsidR="00A3427A" w:rsidRPr="00A3427A" w:rsidRDefault="00A3427A" w:rsidP="00A342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42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741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7210123" w14:textId="38356093" w:rsidR="00A3427A" w:rsidRPr="00A3427A" w:rsidRDefault="00A3427A" w:rsidP="00A342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427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1" w:name="_Hlk535242431"/>
    <w:bookmarkStart w:id="2" w:name="_Hlk535242432"/>
    <w:bookmarkStart w:id="3" w:name="_Hlk535242433"/>
    <w:bookmarkStart w:id="4" w:name="_Hlk535242435"/>
    <w:bookmarkStart w:id="5" w:name="_Hlk535242436"/>
    <w:bookmarkStart w:id="6" w:name="_Hlk535242437"/>
    <w:bookmarkStart w:id="7" w:name="_Hlk535242438"/>
    <w:bookmarkStart w:id="8" w:name="_Hlk535242439"/>
    <w:bookmarkStart w:id="9" w:name="_Hlk535242440"/>
    <w:bookmarkStart w:id="10" w:name="_Hlk1719393"/>
    <w:r w:rsidR="00A3427A" w:rsidRPr="00A3427A">
      <w:t>Attachment N-</w:t>
    </w:r>
    <w:r w:rsidR="00A3427A">
      <w:t>2</w:t>
    </w:r>
  </w:p>
  <w:p w14:paraId="1B5EF2EC" w14:textId="77777777" w:rsidR="00A3427A" w:rsidRPr="00A3427A" w:rsidRDefault="00A3427A" w:rsidP="00070F59">
    <w:pPr>
      <w:pStyle w:val="Header"/>
      <w:spacing w:before="0"/>
    </w:pPr>
    <w:r w:rsidRPr="00A3427A">
      <w:t>Final Ballot Results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p w14:paraId="249A1271" w14:textId="19811625" w:rsidR="00A3427A" w:rsidRPr="00A3427A" w:rsidRDefault="00A3427A" w:rsidP="00070F59">
    <w:pPr>
      <w:pStyle w:val="Header"/>
      <w:spacing w:before="0"/>
    </w:pPr>
    <w:r w:rsidRPr="00A3427A">
      <w:t>WECC-014</w:t>
    </w:r>
    <w:r>
      <w:t>9</w:t>
    </w:r>
    <w:r w:rsidRPr="00A3427A">
      <w:t xml:space="preserve"> FAC-501-WECC-</w:t>
    </w:r>
    <w:r>
      <w:t>4</w:t>
    </w:r>
  </w:p>
  <w:p w14:paraId="45C23033" w14:textId="77777777" w:rsidR="00A3427A" w:rsidRPr="00A3427A" w:rsidRDefault="00A3427A" w:rsidP="00070F59">
    <w:pPr>
      <w:pStyle w:val="Header"/>
      <w:spacing w:before="0"/>
    </w:pPr>
    <w:r w:rsidRPr="00A3427A">
      <w:t>Transmission Maintenance</w:t>
    </w:r>
  </w:p>
  <w:p w14:paraId="5A333769" w14:textId="2B6E52F7" w:rsidR="00F0162A" w:rsidRPr="00AE544F" w:rsidRDefault="00F0162A" w:rsidP="00A3427A">
    <w:pPr>
      <w:pStyle w:val="Header"/>
      <w:contextualSpacing w:val="0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4EAA238F"/>
    <w:multiLevelType w:val="hybridMultilevel"/>
    <w:tmpl w:val="95FE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1232">
    <w:abstractNumId w:val="8"/>
  </w:num>
  <w:num w:numId="2" w16cid:durableId="1181242063">
    <w:abstractNumId w:val="4"/>
  </w:num>
  <w:num w:numId="3" w16cid:durableId="1661543481">
    <w:abstractNumId w:val="0"/>
  </w:num>
  <w:num w:numId="4" w16cid:durableId="1767843823">
    <w:abstractNumId w:val="1"/>
  </w:num>
  <w:num w:numId="5" w16cid:durableId="2143691407">
    <w:abstractNumId w:val="9"/>
  </w:num>
  <w:num w:numId="6" w16cid:durableId="298540328">
    <w:abstractNumId w:val="2"/>
  </w:num>
  <w:num w:numId="7" w16cid:durableId="2060084287">
    <w:abstractNumId w:val="7"/>
  </w:num>
  <w:num w:numId="8" w16cid:durableId="983965834">
    <w:abstractNumId w:val="5"/>
  </w:num>
  <w:num w:numId="9" w16cid:durableId="1761632236">
    <w:abstractNumId w:val="6"/>
  </w:num>
  <w:num w:numId="10" w16cid:durableId="2015565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wMTUwsjQxM7U0tDBW0lEKTi0uzszPAykwrAUA3/b5NCwAAAA="/>
  </w:docVars>
  <w:rsids>
    <w:rsidRoot w:val="003E15BF"/>
    <w:rsid w:val="00027F1D"/>
    <w:rsid w:val="00070F59"/>
    <w:rsid w:val="000956DA"/>
    <w:rsid w:val="000A1755"/>
    <w:rsid w:val="000F614E"/>
    <w:rsid w:val="00111600"/>
    <w:rsid w:val="001636D2"/>
    <w:rsid w:val="00184878"/>
    <w:rsid w:val="001B7CE9"/>
    <w:rsid w:val="002267AC"/>
    <w:rsid w:val="002B4DA5"/>
    <w:rsid w:val="002E1330"/>
    <w:rsid w:val="00323BC9"/>
    <w:rsid w:val="003472A3"/>
    <w:rsid w:val="00354D5D"/>
    <w:rsid w:val="003B0FC3"/>
    <w:rsid w:val="003E15BF"/>
    <w:rsid w:val="003E1973"/>
    <w:rsid w:val="0043738A"/>
    <w:rsid w:val="004D1F97"/>
    <w:rsid w:val="00550DB3"/>
    <w:rsid w:val="00603CB7"/>
    <w:rsid w:val="007130D6"/>
    <w:rsid w:val="00744D03"/>
    <w:rsid w:val="00761FA8"/>
    <w:rsid w:val="00786381"/>
    <w:rsid w:val="007A46E1"/>
    <w:rsid w:val="0082018D"/>
    <w:rsid w:val="008E7488"/>
    <w:rsid w:val="008F317E"/>
    <w:rsid w:val="008F3E53"/>
    <w:rsid w:val="00991905"/>
    <w:rsid w:val="009A4D48"/>
    <w:rsid w:val="009B19EE"/>
    <w:rsid w:val="009E040B"/>
    <w:rsid w:val="009E1D07"/>
    <w:rsid w:val="00A13E9F"/>
    <w:rsid w:val="00A323FE"/>
    <w:rsid w:val="00A3427A"/>
    <w:rsid w:val="00AE544F"/>
    <w:rsid w:val="00B80E7A"/>
    <w:rsid w:val="00BA7DBE"/>
    <w:rsid w:val="00BC23EE"/>
    <w:rsid w:val="00BF79BD"/>
    <w:rsid w:val="00C05765"/>
    <w:rsid w:val="00CC51AB"/>
    <w:rsid w:val="00CE3D1A"/>
    <w:rsid w:val="00CF774D"/>
    <w:rsid w:val="00D4173A"/>
    <w:rsid w:val="00D4397C"/>
    <w:rsid w:val="00E115FD"/>
    <w:rsid w:val="00E5288E"/>
    <w:rsid w:val="00E5719E"/>
    <w:rsid w:val="00E60569"/>
    <w:rsid w:val="00E652AB"/>
    <w:rsid w:val="00EA2394"/>
    <w:rsid w:val="00EC42E5"/>
    <w:rsid w:val="00F0162A"/>
    <w:rsid w:val="00F82512"/>
    <w:rsid w:val="00F853EC"/>
    <w:rsid w:val="00F8781A"/>
    <w:rsid w:val="00FD07D8"/>
    <w:rsid w:val="00FD3FC2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FE4A"/>
  <w15:chartTrackingRefBased/>
  <w15:docId w15:val="{578A7F3B-8FCC-46D9-A135-02081929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F3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e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  <w:tblStylePr w:type="swCell"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single" w:sz="4" w:space="0" w:color="00395D" w:themeColor="accent1"/>
          <w:insideV w:val="single" w:sz="4" w:space="0" w:color="00395D" w:themeColor="accent1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table" w:styleId="GridTable4-Accent1">
    <w:name w:val="Grid Table 4 Accent 1"/>
    <w:basedOn w:val="TableNormal"/>
    <w:uiPriority w:val="49"/>
    <w:rsid w:val="003B0FC3"/>
    <w:pPr>
      <w:spacing w:after="0" w:line="240" w:lineRule="auto"/>
    </w:pPr>
    <w:tblPr>
      <w:tblStyleRowBandSize w:val="1"/>
      <w:tblStyleColBandSize w:val="1"/>
      <w:tblBorders>
        <w:top w:val="single" w:sz="4" w:space="0" w:color="049DFF" w:themeColor="accent1" w:themeTint="99"/>
        <w:left w:val="single" w:sz="4" w:space="0" w:color="049DFF" w:themeColor="accent1" w:themeTint="99"/>
        <w:bottom w:val="single" w:sz="4" w:space="0" w:color="049DFF" w:themeColor="accent1" w:themeTint="99"/>
        <w:right w:val="single" w:sz="4" w:space="0" w:color="049DFF" w:themeColor="accent1" w:themeTint="99"/>
        <w:insideH w:val="single" w:sz="4" w:space="0" w:color="049DFF" w:themeColor="accent1" w:themeTint="99"/>
        <w:insideV w:val="single" w:sz="4" w:space="0" w:color="049DFF" w:themeColor="accent1" w:themeTint="99"/>
      </w:tblBorders>
    </w:tblPr>
    <w:tblStylePr w:type="firstRow">
      <w:rPr>
        <w:rFonts w:asciiTheme="minorHAnsi" w:hAnsiTheme="minorHAnsi"/>
        <w:b/>
        <w:bCs/>
        <w:color w:val="FFFFFF" w:themeColor="background1"/>
        <w:sz w:val="18"/>
      </w:rPr>
      <w:tblPr/>
      <w:tcPr>
        <w:tcBorders>
          <w:top w:val="single" w:sz="4" w:space="0" w:color="00395D" w:themeColor="accent1"/>
          <w:left w:val="single" w:sz="4" w:space="0" w:color="00395D" w:themeColor="accent1"/>
          <w:bottom w:val="single" w:sz="4" w:space="0" w:color="00395D" w:themeColor="accent1"/>
          <w:right w:val="single" w:sz="4" w:space="0" w:color="00395D" w:themeColor="accent1"/>
          <w:insideH w:val="nil"/>
          <w:insideV w:val="nil"/>
        </w:tcBorders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</w:tcPr>
    </w:tblStylePr>
    <w:tblStylePr w:type="firstCol">
      <w:rPr>
        <w:b/>
        <w:bCs/>
      </w:rPr>
      <w:tblPr/>
      <w:tcPr>
        <w:shd w:val="clear" w:color="auto" w:fill="6D2D41" w:themeFill="accent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ABDEFF" w:themeFill="accent1" w:themeFillTint="33"/>
      </w:tcPr>
    </w:tblStylePr>
    <w:tblStylePr w:type="band1Horz">
      <w:tblPr/>
      <w:tcPr>
        <w:shd w:val="clear" w:color="auto" w:fill="ABDEFF" w:themeFill="accent1" w:themeFillTint="33"/>
      </w:tcPr>
    </w:tblStylePr>
  </w:style>
  <w:style w:type="table" w:customStyle="1" w:styleId="BallotResults">
    <w:name w:val="Ballot Results"/>
    <w:basedOn w:val="TableNormal"/>
    <w:uiPriority w:val="99"/>
    <w:rsid w:val="008F317E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table" w:customStyle="1" w:styleId="BallotResults1">
    <w:name w:val="Ballot Results1"/>
    <w:basedOn w:val="TableNormal"/>
    <w:uiPriority w:val="99"/>
    <w:rsid w:val="00D4397C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  <w:style w:type="paragraph" w:styleId="Revision">
    <w:name w:val="Revision"/>
    <w:hidden/>
    <w:uiPriority w:val="99"/>
    <w:semiHidden/>
    <w:rsid w:val="00070F59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ttachment_N_Final%20Ballot%20Resul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YWEQ7USXTMD7-3-13841</_dlc_DocId>
    <_dlc_DocIdUrl xmlns="4bd63098-0c83-43cf-abdd-085f2cc55a51">
      <Url>https://internal.wecc.org/_layouts/15/DocIdRedir.aspx?ID=YWEQ7USXTMD7-3-13841</Url>
      <Description>YWEQ7USXTMD7-3-13841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CACABCFF-6D22-4F38-BBAD-D5E1D2241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F15A6-E754-45FF-A7F4-DDA7A379C56D}"/>
</file>

<file path=customXml/itemProps3.xml><?xml version="1.0" encoding="utf-8"?>
<ds:datastoreItem xmlns:ds="http://schemas.openxmlformats.org/officeDocument/2006/customXml" ds:itemID="{0EA95AEA-87C0-4BCD-A069-A3AA19C1A646}"/>
</file>

<file path=customXml/itemProps4.xml><?xml version="1.0" encoding="utf-8"?>
<ds:datastoreItem xmlns:ds="http://schemas.openxmlformats.org/officeDocument/2006/customXml" ds:itemID="{1DF1013E-3BF1-4D5F-A958-FE5E9FFC7B72}"/>
</file>

<file path=customXml/itemProps5.xml><?xml version="1.0" encoding="utf-8"?>
<ds:datastoreItem xmlns:ds="http://schemas.openxmlformats.org/officeDocument/2006/customXml" ds:itemID="{08806916-049D-49D3-AE17-7999928F5647}"/>
</file>

<file path=docProps/app.xml><?xml version="1.0" encoding="utf-8"?>
<Properties xmlns="http://schemas.openxmlformats.org/officeDocument/2006/extended-properties" xmlns:vt="http://schemas.openxmlformats.org/officeDocument/2006/docPropsVTypes">
  <Template>Attachment_N_Final Ballot Results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N-2 Ballot Result WECC-0149</dc:title>
  <dc:subject/>
  <dc:creator>Donovan Crane</dc:creator>
  <cp:keywords>NERCFilings; WECC-0149; NERC Filings</cp:keywords>
  <dc:description/>
  <cp:lastModifiedBy>Rueckert, Steve</cp:lastModifiedBy>
  <cp:revision>4</cp:revision>
  <cp:lastPrinted>2019-01-04T22:00:00Z</cp:lastPrinted>
  <dcterms:created xsi:type="dcterms:W3CDTF">2023-10-26T19:12:00Z</dcterms:created>
  <dcterms:modified xsi:type="dcterms:W3CDTF">2024-02-23T22:56:00Z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adc59bfb825eaf38e74381b51660da882b713dab2f3effb7d0c89e4f446239a8</vt:lpwstr>
  </property>
  <property fmtid="{D5CDD505-2E9C-101B-9397-08002B2CF9AE}" pid="3" name="ClassificationContentMarkingHeaderShapeIds">
    <vt:lpwstr>2,3,5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&lt;Public&gt;</vt:lpwstr>
  </property>
  <property fmtid="{D5CDD505-2E9C-101B-9397-08002B2CF9AE}" pid="6" name="MSIP_Label_878e9819-3d07-47f7-9697-834686d925a0_Enabled">
    <vt:lpwstr>true</vt:lpwstr>
  </property>
  <property fmtid="{D5CDD505-2E9C-101B-9397-08002B2CF9AE}" pid="7" name="MSIP_Label_878e9819-3d07-47f7-9697-834686d925a0_SetDate">
    <vt:lpwstr>2023-07-10T20:35:10Z</vt:lpwstr>
  </property>
  <property fmtid="{D5CDD505-2E9C-101B-9397-08002B2CF9AE}" pid="8" name="MSIP_Label_878e9819-3d07-47f7-9697-834686d925a0_Method">
    <vt:lpwstr>Privileged</vt:lpwstr>
  </property>
  <property fmtid="{D5CDD505-2E9C-101B-9397-08002B2CF9AE}" pid="9" name="MSIP_Label_878e9819-3d07-47f7-9697-834686d925a0_Name">
    <vt:lpwstr>Public</vt:lpwstr>
  </property>
  <property fmtid="{D5CDD505-2E9C-101B-9397-08002B2CF9AE}" pid="10" name="MSIP_Label_878e9819-3d07-47f7-9697-834686d925a0_SiteId">
    <vt:lpwstr>fd6f305d-c929-4e10-9d46-2e7058aae5e6</vt:lpwstr>
  </property>
  <property fmtid="{D5CDD505-2E9C-101B-9397-08002B2CF9AE}" pid="11" name="MSIP_Label_878e9819-3d07-47f7-9697-834686d925a0_ActionId">
    <vt:lpwstr>916975ea-511d-40d6-8e8e-44f4fb319733</vt:lpwstr>
  </property>
  <property fmtid="{D5CDD505-2E9C-101B-9397-08002B2CF9AE}" pid="12" name="MSIP_Label_878e9819-3d07-47f7-9697-834686d925a0_ContentBits">
    <vt:lpwstr>1</vt:lpwstr>
  </property>
  <property fmtid="{D5CDD505-2E9C-101B-9397-08002B2CF9AE}" pid="13" name="ContentTypeId">
    <vt:lpwstr>0x010100E45EF0F8AAA65E428351BA36F1B645BE1200CA280BBE04EF434C8DECBE67FD58A074</vt:lpwstr>
  </property>
  <property fmtid="{D5CDD505-2E9C-101B-9397-08002B2CF9AE}" pid="14" name="_dlc_DocIdItemGuid">
    <vt:lpwstr>0d544389-2cf3-4eff-b74d-abecca7689cd</vt:lpwstr>
  </property>
  <property fmtid="{D5CDD505-2E9C-101B-9397-08002B2CF9AE}" pid="15" name="TaxKeyword">
    <vt:lpwstr>2282;#WECC-0149|aeb87f78-01e4-41a0-a32d-bb9fb8183042;#2419;#NERCFilings|0e89d8f0-e018-45cc-b5bf-f537405b2363;#1539;#NERC Filings|38da0236-f1a7-4cb0-b512-0acfdf6fb813</vt:lpwstr>
  </property>
</Properties>
</file>