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E2B0" w14:textId="7D3ACC6F" w:rsidR="00F0162A" w:rsidRDefault="00F0162A" w:rsidP="00F0162A"/>
    <w:tbl>
      <w:tblPr>
        <w:tblW w:w="10065" w:type="dxa"/>
        <w:tblBorders>
          <w:left w:val="single" w:sz="12" w:space="0" w:color="00395D" w:themeColor="accent1"/>
          <w:bottom w:val="single" w:sz="12" w:space="0" w:color="00395D" w:themeColor="accent1"/>
          <w:right w:val="single" w:sz="12" w:space="0" w:color="00395D" w:themeColor="accent1"/>
          <w:insideH w:val="single" w:sz="12" w:space="0" w:color="00395D" w:themeColor="accent1"/>
        </w:tblBorders>
        <w:tblLook w:val="04A0" w:firstRow="1" w:lastRow="0" w:firstColumn="1" w:lastColumn="0" w:noHBand="0" w:noVBand="1"/>
      </w:tblPr>
      <w:tblGrid>
        <w:gridCol w:w="1425"/>
        <w:gridCol w:w="1795"/>
        <w:gridCol w:w="2165"/>
        <w:gridCol w:w="900"/>
        <w:gridCol w:w="1620"/>
        <w:gridCol w:w="2160"/>
      </w:tblGrid>
      <w:tr w:rsidR="00362961" w:rsidRPr="00362961" w14:paraId="150A44B0" w14:textId="77777777" w:rsidTr="007A46B6">
        <w:trPr>
          <w:trHeight w:val="315"/>
          <w:tblHeader/>
        </w:trPr>
        <w:tc>
          <w:tcPr>
            <w:tcW w:w="1425" w:type="dxa"/>
            <w:shd w:val="clear" w:color="auto" w:fill="00395D" w:themeFill="accent1"/>
            <w:vAlign w:val="bottom"/>
            <w:hideMark/>
          </w:tcPr>
          <w:p w14:paraId="712ACD59" w14:textId="77777777" w:rsidR="00EC42E5" w:rsidRPr="007A46B6" w:rsidRDefault="00EC42E5" w:rsidP="00EC42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FFFF"/>
              </w:rPr>
            </w:pPr>
            <w:r w:rsidRPr="007A46B6">
              <w:rPr>
                <w:rFonts w:asciiTheme="majorHAnsi" w:eastAsia="Times New Roman" w:hAnsiTheme="majorHAnsi" w:cs="Calibri"/>
                <w:b/>
                <w:bCs/>
                <w:color w:val="FFFFFF"/>
              </w:rPr>
              <w:t>Title</w:t>
            </w:r>
          </w:p>
        </w:tc>
        <w:tc>
          <w:tcPr>
            <w:tcW w:w="1795" w:type="dxa"/>
            <w:shd w:val="clear" w:color="auto" w:fill="00395D" w:themeFill="accent1"/>
            <w:vAlign w:val="bottom"/>
            <w:hideMark/>
          </w:tcPr>
          <w:p w14:paraId="1214C725" w14:textId="77777777" w:rsidR="00EC42E5" w:rsidRPr="007A46B6" w:rsidRDefault="00EC42E5" w:rsidP="00EC42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FFFF"/>
              </w:rPr>
            </w:pPr>
            <w:r w:rsidRPr="007A46B6">
              <w:rPr>
                <w:rFonts w:asciiTheme="majorHAnsi" w:eastAsia="Times New Roman" w:hAnsiTheme="majorHAnsi" w:cs="Calibri"/>
                <w:b/>
                <w:bCs/>
                <w:color w:val="FFFFFF"/>
              </w:rPr>
              <w:t>Company</w:t>
            </w:r>
          </w:p>
        </w:tc>
        <w:tc>
          <w:tcPr>
            <w:tcW w:w="2165" w:type="dxa"/>
            <w:shd w:val="clear" w:color="auto" w:fill="00395D" w:themeFill="accent1"/>
            <w:vAlign w:val="bottom"/>
            <w:hideMark/>
          </w:tcPr>
          <w:p w14:paraId="42289B00" w14:textId="77777777" w:rsidR="00EC42E5" w:rsidRPr="007A46B6" w:rsidRDefault="00EC42E5" w:rsidP="00EC42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FFFF"/>
              </w:rPr>
            </w:pPr>
            <w:r w:rsidRPr="007A46B6">
              <w:rPr>
                <w:rFonts w:asciiTheme="majorHAnsi" w:eastAsia="Times New Roman" w:hAnsiTheme="majorHAnsi" w:cs="Calibri"/>
                <w:b/>
                <w:bCs/>
                <w:color w:val="FFFFFF"/>
              </w:rPr>
              <w:t>Sector</w:t>
            </w:r>
          </w:p>
        </w:tc>
        <w:tc>
          <w:tcPr>
            <w:tcW w:w="900" w:type="dxa"/>
            <w:shd w:val="clear" w:color="auto" w:fill="00395D" w:themeFill="accent1"/>
            <w:vAlign w:val="bottom"/>
            <w:hideMark/>
          </w:tcPr>
          <w:p w14:paraId="2ACF308F" w14:textId="77777777" w:rsidR="00EC42E5" w:rsidRPr="007A46B6" w:rsidRDefault="00EC42E5" w:rsidP="00EC42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FFFF"/>
              </w:rPr>
            </w:pPr>
            <w:r w:rsidRPr="007A46B6">
              <w:rPr>
                <w:rFonts w:asciiTheme="majorHAnsi" w:eastAsia="Times New Roman" w:hAnsiTheme="majorHAnsi" w:cs="Calibri"/>
                <w:b/>
                <w:bCs/>
                <w:color w:val="FFFFFF"/>
              </w:rPr>
              <w:t>Vote</w:t>
            </w:r>
          </w:p>
        </w:tc>
        <w:tc>
          <w:tcPr>
            <w:tcW w:w="1620" w:type="dxa"/>
            <w:shd w:val="clear" w:color="auto" w:fill="00395D" w:themeFill="accent1"/>
            <w:vAlign w:val="bottom"/>
            <w:hideMark/>
          </w:tcPr>
          <w:p w14:paraId="6986A474" w14:textId="77777777" w:rsidR="00EC42E5" w:rsidRPr="007A46B6" w:rsidRDefault="00EC42E5" w:rsidP="00EC42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FFFF"/>
              </w:rPr>
            </w:pPr>
            <w:r w:rsidRPr="007A46B6">
              <w:rPr>
                <w:rFonts w:asciiTheme="majorHAnsi" w:eastAsia="Times New Roman" w:hAnsiTheme="majorHAnsi" w:cs="Calibri"/>
                <w:b/>
                <w:bCs/>
                <w:color w:val="FFFFFF"/>
              </w:rPr>
              <w:t>Comments</w:t>
            </w:r>
          </w:p>
        </w:tc>
        <w:tc>
          <w:tcPr>
            <w:tcW w:w="2160" w:type="dxa"/>
            <w:shd w:val="clear" w:color="auto" w:fill="00395D" w:themeFill="accent1"/>
            <w:vAlign w:val="bottom"/>
            <w:hideMark/>
          </w:tcPr>
          <w:p w14:paraId="6D5FF36B" w14:textId="77777777" w:rsidR="00EC42E5" w:rsidRPr="007A46B6" w:rsidRDefault="00EC42E5" w:rsidP="00EC42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FFFF"/>
              </w:rPr>
            </w:pPr>
            <w:r w:rsidRPr="007A46B6">
              <w:rPr>
                <w:rFonts w:asciiTheme="majorHAnsi" w:eastAsia="Times New Roman" w:hAnsiTheme="majorHAnsi" w:cs="Calibri"/>
                <w:b/>
                <w:bCs/>
                <w:color w:val="FFFFFF"/>
              </w:rPr>
              <w:t>Created By</w:t>
            </w:r>
          </w:p>
        </w:tc>
      </w:tr>
      <w:tr w:rsidR="00EC42E5" w:rsidRPr="00257B64" w14:paraId="40C4AFCF" w14:textId="77777777" w:rsidTr="007A46B6">
        <w:trPr>
          <w:trHeight w:val="795"/>
        </w:trPr>
        <w:tc>
          <w:tcPr>
            <w:tcW w:w="1425" w:type="dxa"/>
            <w:shd w:val="clear" w:color="auto" w:fill="auto"/>
            <w:hideMark/>
          </w:tcPr>
          <w:p w14:paraId="45F9CE4E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1B6C7349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California Independent System Operator</w:t>
            </w:r>
          </w:p>
        </w:tc>
        <w:tc>
          <w:tcPr>
            <w:tcW w:w="2165" w:type="dxa"/>
            <w:shd w:val="clear" w:color="auto" w:fill="auto"/>
            <w:hideMark/>
          </w:tcPr>
          <w:p w14:paraId="2A8F6F0B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Regional Transmission Organizations (RTOs) and Independent System Operators (ISOs)</w:t>
            </w:r>
          </w:p>
        </w:tc>
        <w:tc>
          <w:tcPr>
            <w:tcW w:w="900" w:type="dxa"/>
            <w:shd w:val="clear" w:color="auto" w:fill="auto"/>
            <w:hideMark/>
          </w:tcPr>
          <w:p w14:paraId="5BA3C353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3489282F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0CD77589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Darcy O'Connell</w:t>
            </w:r>
          </w:p>
        </w:tc>
      </w:tr>
      <w:tr w:rsidR="00EC42E5" w:rsidRPr="00257B64" w14:paraId="6A80EE56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54996407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1B9F337E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Bonneville Power Administration</w:t>
            </w:r>
          </w:p>
        </w:tc>
        <w:tc>
          <w:tcPr>
            <w:tcW w:w="2165" w:type="dxa"/>
            <w:shd w:val="clear" w:color="auto" w:fill="auto"/>
            <w:hideMark/>
          </w:tcPr>
          <w:p w14:paraId="45871F2C" w14:textId="250F87F6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Load-Serving Entities (LSE)</w:t>
            </w:r>
          </w:p>
        </w:tc>
        <w:tc>
          <w:tcPr>
            <w:tcW w:w="900" w:type="dxa"/>
            <w:shd w:val="clear" w:color="auto" w:fill="auto"/>
            <w:hideMark/>
          </w:tcPr>
          <w:p w14:paraId="6BC3AFE0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4D3F1CDC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094300C3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Ken Lanehome</w:t>
            </w:r>
          </w:p>
        </w:tc>
      </w:tr>
      <w:tr w:rsidR="00EC42E5" w:rsidRPr="00257B64" w14:paraId="6B9AABEB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6F444D9A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2A621085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British Columbia Hydro and Power Authority</w:t>
            </w:r>
          </w:p>
        </w:tc>
        <w:tc>
          <w:tcPr>
            <w:tcW w:w="2165" w:type="dxa"/>
            <w:shd w:val="clear" w:color="auto" w:fill="auto"/>
            <w:hideMark/>
          </w:tcPr>
          <w:p w14:paraId="0F2096A9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900" w:type="dxa"/>
            <w:shd w:val="clear" w:color="auto" w:fill="auto"/>
            <w:hideMark/>
          </w:tcPr>
          <w:p w14:paraId="70408AC9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77194677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1FB13067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Adrian Andreoiu</w:t>
            </w:r>
          </w:p>
        </w:tc>
      </w:tr>
      <w:tr w:rsidR="00EC42E5" w:rsidRPr="00257B64" w14:paraId="6EE68194" w14:textId="77777777" w:rsidTr="007A46B6">
        <w:trPr>
          <w:trHeight w:val="930"/>
        </w:trPr>
        <w:tc>
          <w:tcPr>
            <w:tcW w:w="1425" w:type="dxa"/>
            <w:shd w:val="clear" w:color="auto" w:fill="auto"/>
            <w:hideMark/>
          </w:tcPr>
          <w:p w14:paraId="27C241AC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625E1B28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British Columbia Hydro and Power Authority</w:t>
            </w:r>
          </w:p>
        </w:tc>
        <w:tc>
          <w:tcPr>
            <w:tcW w:w="2165" w:type="dxa"/>
            <w:shd w:val="clear" w:color="auto" w:fill="auto"/>
            <w:hideMark/>
          </w:tcPr>
          <w:p w14:paraId="4F44A5CC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900" w:type="dxa"/>
            <w:shd w:val="clear" w:color="auto" w:fill="auto"/>
            <w:hideMark/>
          </w:tcPr>
          <w:p w14:paraId="17995BE7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716769C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27512433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Adrian Andreoiu</w:t>
            </w:r>
          </w:p>
        </w:tc>
      </w:tr>
      <w:tr w:rsidR="00EC42E5" w:rsidRPr="00257B64" w14:paraId="3A1A6828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1C060ECB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2F72375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British Columbia Hydro and Power Authority</w:t>
            </w:r>
          </w:p>
        </w:tc>
        <w:tc>
          <w:tcPr>
            <w:tcW w:w="2165" w:type="dxa"/>
            <w:shd w:val="clear" w:color="auto" w:fill="auto"/>
            <w:hideMark/>
          </w:tcPr>
          <w:p w14:paraId="4BC119C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Transmission Dependent Utilities (TDUs)</w:t>
            </w:r>
          </w:p>
        </w:tc>
        <w:tc>
          <w:tcPr>
            <w:tcW w:w="900" w:type="dxa"/>
            <w:shd w:val="clear" w:color="auto" w:fill="auto"/>
            <w:hideMark/>
          </w:tcPr>
          <w:p w14:paraId="4A060091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63509364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25333F91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Adrian Andreoiu</w:t>
            </w:r>
          </w:p>
        </w:tc>
      </w:tr>
      <w:tr w:rsidR="00EC42E5" w:rsidRPr="00257B64" w14:paraId="16C24DF2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221A8F24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6FF20BED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British Columbia Hydro and Power Authority</w:t>
            </w:r>
          </w:p>
        </w:tc>
        <w:tc>
          <w:tcPr>
            <w:tcW w:w="2165" w:type="dxa"/>
            <w:shd w:val="clear" w:color="auto" w:fill="auto"/>
            <w:hideMark/>
          </w:tcPr>
          <w:p w14:paraId="33C0779D" w14:textId="514552BE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Load-Serving Entities (</w:t>
            </w:r>
            <w:r w:rsidR="00257B64" w:rsidRPr="007A46B6">
              <w:rPr>
                <w:rFonts w:asciiTheme="minorHAnsi" w:eastAsia="Times New Roman" w:hAnsiTheme="minorHAnsi" w:cs="Calibri"/>
                <w:color w:val="000000"/>
              </w:rPr>
              <w:t>LSE</w:t>
            </w:r>
            <w:r w:rsidRPr="007A46B6">
              <w:rPr>
                <w:rFonts w:asciiTheme="minorHAnsi" w:eastAsia="Times New Roman" w:hAnsiTheme="minorHAnsi" w:cs="Calibri"/>
                <w:color w:val="000000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79B986E4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5D78D64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7FC07E8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Adrian Andreoiu</w:t>
            </w:r>
          </w:p>
        </w:tc>
      </w:tr>
      <w:tr w:rsidR="00EC42E5" w:rsidRPr="00257B64" w14:paraId="6C76ABC4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3734F530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05AEF5BA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Arizona Public Service Company</w:t>
            </w:r>
          </w:p>
        </w:tc>
        <w:tc>
          <w:tcPr>
            <w:tcW w:w="2165" w:type="dxa"/>
            <w:shd w:val="clear" w:color="auto" w:fill="auto"/>
            <w:hideMark/>
          </w:tcPr>
          <w:p w14:paraId="24159865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900" w:type="dxa"/>
            <w:shd w:val="clear" w:color="auto" w:fill="auto"/>
            <w:hideMark/>
          </w:tcPr>
          <w:p w14:paraId="6B841A87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45FAA3F4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3B70ABAC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Michelle Amarantos</w:t>
            </w:r>
          </w:p>
        </w:tc>
      </w:tr>
      <w:tr w:rsidR="00EC42E5" w:rsidRPr="00257B64" w14:paraId="08ECBBF5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1FA86695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lastRenderedPageBreak/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1A7416A8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Arizona Public Service Company</w:t>
            </w:r>
          </w:p>
        </w:tc>
        <w:tc>
          <w:tcPr>
            <w:tcW w:w="2165" w:type="dxa"/>
            <w:shd w:val="clear" w:color="auto" w:fill="auto"/>
            <w:hideMark/>
          </w:tcPr>
          <w:p w14:paraId="7295EB2B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Electricity Brokers, Aggregators, and Marketers</w:t>
            </w:r>
          </w:p>
        </w:tc>
        <w:tc>
          <w:tcPr>
            <w:tcW w:w="900" w:type="dxa"/>
            <w:shd w:val="clear" w:color="auto" w:fill="auto"/>
            <w:hideMark/>
          </w:tcPr>
          <w:p w14:paraId="7C6BBD0A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4C40228A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5379F65A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Marcus Bortman</w:t>
            </w:r>
          </w:p>
        </w:tc>
      </w:tr>
      <w:tr w:rsidR="00EC42E5" w:rsidRPr="00257B64" w14:paraId="3A2DF6F7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7CF350A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1D69649E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Arizona Public Service Company</w:t>
            </w:r>
          </w:p>
        </w:tc>
        <w:tc>
          <w:tcPr>
            <w:tcW w:w="2165" w:type="dxa"/>
            <w:shd w:val="clear" w:color="auto" w:fill="auto"/>
            <w:hideMark/>
          </w:tcPr>
          <w:p w14:paraId="6F45CE59" w14:textId="4EA0CBA9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Load-Serving Entities (</w:t>
            </w:r>
            <w:r w:rsidR="00257B64" w:rsidRPr="007A46B6">
              <w:rPr>
                <w:rFonts w:asciiTheme="minorHAnsi" w:eastAsia="Times New Roman" w:hAnsiTheme="minorHAnsi" w:cs="Calibri"/>
                <w:color w:val="000000"/>
              </w:rPr>
              <w:t>LSE</w:t>
            </w:r>
            <w:r w:rsidRPr="007A46B6">
              <w:rPr>
                <w:rFonts w:asciiTheme="minorHAnsi" w:eastAsia="Times New Roman" w:hAnsiTheme="minorHAnsi" w:cs="Calibri"/>
                <w:color w:val="000000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640A1B13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72BD93B9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6DD908A8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Jessica Lopez</w:t>
            </w:r>
          </w:p>
        </w:tc>
      </w:tr>
      <w:tr w:rsidR="00EC42E5" w:rsidRPr="00257B64" w14:paraId="189D4A8D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106824CB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06584908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Arizona Public Service Company</w:t>
            </w:r>
          </w:p>
        </w:tc>
        <w:tc>
          <w:tcPr>
            <w:tcW w:w="2165" w:type="dxa"/>
            <w:shd w:val="clear" w:color="auto" w:fill="auto"/>
            <w:hideMark/>
          </w:tcPr>
          <w:p w14:paraId="03F65DC0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900" w:type="dxa"/>
            <w:shd w:val="clear" w:color="auto" w:fill="auto"/>
            <w:hideMark/>
          </w:tcPr>
          <w:p w14:paraId="1D7737D0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1A4EEB9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2F66DF9D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Daniela Atanasovski</w:t>
            </w:r>
          </w:p>
        </w:tc>
      </w:tr>
      <w:tr w:rsidR="00EC42E5" w:rsidRPr="00257B64" w14:paraId="764091E7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6541D14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2905C4DB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U.S. Bureau of Reclamation</w:t>
            </w:r>
          </w:p>
        </w:tc>
        <w:tc>
          <w:tcPr>
            <w:tcW w:w="2165" w:type="dxa"/>
            <w:shd w:val="clear" w:color="auto" w:fill="auto"/>
            <w:hideMark/>
          </w:tcPr>
          <w:p w14:paraId="5D5DC8B1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900" w:type="dxa"/>
            <w:shd w:val="clear" w:color="auto" w:fill="auto"/>
            <w:hideMark/>
          </w:tcPr>
          <w:p w14:paraId="71E924E9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1839ED17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01495B4F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Richard Jackson</w:t>
            </w:r>
          </w:p>
        </w:tc>
      </w:tr>
      <w:tr w:rsidR="00EC42E5" w:rsidRPr="00257B64" w14:paraId="2CFB9E0E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262A5191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4087F66D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U.S. Bureau of Reclamation</w:t>
            </w:r>
          </w:p>
        </w:tc>
        <w:tc>
          <w:tcPr>
            <w:tcW w:w="2165" w:type="dxa"/>
            <w:shd w:val="clear" w:color="auto" w:fill="auto"/>
            <w:hideMark/>
          </w:tcPr>
          <w:p w14:paraId="3B0589C4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900" w:type="dxa"/>
            <w:shd w:val="clear" w:color="auto" w:fill="auto"/>
            <w:hideMark/>
          </w:tcPr>
          <w:p w14:paraId="5E82F9B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61B2052B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057D24DB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Richard Jackson</w:t>
            </w:r>
          </w:p>
        </w:tc>
      </w:tr>
      <w:tr w:rsidR="00EC42E5" w:rsidRPr="00257B64" w14:paraId="4967C3FE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4BEB5747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1E80109E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Tri-State Generation and Transmission—Reliability</w:t>
            </w:r>
          </w:p>
        </w:tc>
        <w:tc>
          <w:tcPr>
            <w:tcW w:w="2165" w:type="dxa"/>
            <w:shd w:val="clear" w:color="auto" w:fill="auto"/>
            <w:hideMark/>
          </w:tcPr>
          <w:p w14:paraId="320A3E5D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900" w:type="dxa"/>
            <w:shd w:val="clear" w:color="auto" w:fill="auto"/>
            <w:hideMark/>
          </w:tcPr>
          <w:p w14:paraId="4E073BC5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68CC11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60D79479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Donna Wood</w:t>
            </w:r>
          </w:p>
        </w:tc>
      </w:tr>
      <w:tr w:rsidR="00EC42E5" w:rsidRPr="00257B64" w14:paraId="6110B0D6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2CD6BF8A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457EE9EC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Bonneville Power Administration</w:t>
            </w:r>
          </w:p>
        </w:tc>
        <w:tc>
          <w:tcPr>
            <w:tcW w:w="2165" w:type="dxa"/>
            <w:shd w:val="clear" w:color="auto" w:fill="auto"/>
            <w:hideMark/>
          </w:tcPr>
          <w:p w14:paraId="30E0E5F1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900" w:type="dxa"/>
            <w:shd w:val="clear" w:color="auto" w:fill="auto"/>
            <w:hideMark/>
          </w:tcPr>
          <w:p w14:paraId="3EE214E9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248F7A1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44508BD1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Christopher Siewert</w:t>
            </w:r>
          </w:p>
        </w:tc>
      </w:tr>
      <w:tr w:rsidR="00EC42E5" w:rsidRPr="00257B64" w14:paraId="031F3B92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585CDF67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7DF34E34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Bonneville Power Administration</w:t>
            </w:r>
          </w:p>
        </w:tc>
        <w:tc>
          <w:tcPr>
            <w:tcW w:w="2165" w:type="dxa"/>
            <w:shd w:val="clear" w:color="auto" w:fill="auto"/>
            <w:hideMark/>
          </w:tcPr>
          <w:p w14:paraId="7A0C0E48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900" w:type="dxa"/>
            <w:shd w:val="clear" w:color="auto" w:fill="auto"/>
            <w:hideMark/>
          </w:tcPr>
          <w:p w14:paraId="3B8CE7DA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27A76E3D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5D3CDE0B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Kammy Rogers-Holliday</w:t>
            </w:r>
          </w:p>
        </w:tc>
      </w:tr>
      <w:tr w:rsidR="00EC42E5" w:rsidRPr="00257B64" w14:paraId="63D25BE3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603CEEE8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1CA6343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Pacific Gas and Electric Company</w:t>
            </w:r>
          </w:p>
        </w:tc>
        <w:tc>
          <w:tcPr>
            <w:tcW w:w="2165" w:type="dxa"/>
            <w:shd w:val="clear" w:color="auto" w:fill="auto"/>
            <w:hideMark/>
          </w:tcPr>
          <w:p w14:paraId="2F2D1A96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900" w:type="dxa"/>
            <w:shd w:val="clear" w:color="auto" w:fill="auto"/>
            <w:hideMark/>
          </w:tcPr>
          <w:p w14:paraId="7061BDB6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70B7EB6C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PG&amp;E sees no issues with the modifications</w:t>
            </w:r>
          </w:p>
        </w:tc>
        <w:tc>
          <w:tcPr>
            <w:tcW w:w="2160" w:type="dxa"/>
            <w:shd w:val="clear" w:color="auto" w:fill="auto"/>
            <w:hideMark/>
          </w:tcPr>
          <w:p w14:paraId="5ACF754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Mike Johnson</w:t>
            </w:r>
          </w:p>
        </w:tc>
      </w:tr>
      <w:tr w:rsidR="00EC42E5" w:rsidRPr="00257B64" w14:paraId="10D3E9B8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181BF76C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03EFA98E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Pacific Gas and Electric Company</w:t>
            </w:r>
          </w:p>
        </w:tc>
        <w:tc>
          <w:tcPr>
            <w:tcW w:w="2165" w:type="dxa"/>
            <w:shd w:val="clear" w:color="auto" w:fill="auto"/>
            <w:hideMark/>
          </w:tcPr>
          <w:p w14:paraId="1C484C5C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900" w:type="dxa"/>
            <w:shd w:val="clear" w:color="auto" w:fill="auto"/>
            <w:hideMark/>
          </w:tcPr>
          <w:p w14:paraId="1CA61980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2B2D003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PG&amp;E sees no issues with the modifications</w:t>
            </w:r>
          </w:p>
        </w:tc>
        <w:tc>
          <w:tcPr>
            <w:tcW w:w="2160" w:type="dxa"/>
            <w:shd w:val="clear" w:color="auto" w:fill="auto"/>
            <w:hideMark/>
          </w:tcPr>
          <w:p w14:paraId="786D3695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Mike Johnson</w:t>
            </w:r>
          </w:p>
        </w:tc>
      </w:tr>
      <w:tr w:rsidR="00EC42E5" w:rsidRPr="00257B64" w14:paraId="24235551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2CB9E76D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72F0012F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Pacific Gas and Electric Company</w:t>
            </w:r>
          </w:p>
        </w:tc>
        <w:tc>
          <w:tcPr>
            <w:tcW w:w="2165" w:type="dxa"/>
            <w:shd w:val="clear" w:color="auto" w:fill="auto"/>
            <w:hideMark/>
          </w:tcPr>
          <w:p w14:paraId="7C6A57F0" w14:textId="4D599663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Load-Serving Entities (</w:t>
            </w:r>
            <w:r w:rsidR="00257B64" w:rsidRPr="007A46B6">
              <w:rPr>
                <w:rFonts w:asciiTheme="minorHAnsi" w:eastAsia="Times New Roman" w:hAnsiTheme="minorHAnsi" w:cs="Calibri"/>
                <w:color w:val="000000"/>
              </w:rPr>
              <w:t>LSE</w:t>
            </w:r>
            <w:r w:rsidRPr="007A46B6">
              <w:rPr>
                <w:rFonts w:asciiTheme="minorHAnsi" w:eastAsia="Times New Roman" w:hAnsiTheme="minorHAnsi" w:cs="Calibri"/>
                <w:color w:val="000000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16BC99BC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5C628B66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PG&amp;E sees no issues with the modifications</w:t>
            </w:r>
          </w:p>
        </w:tc>
        <w:tc>
          <w:tcPr>
            <w:tcW w:w="2160" w:type="dxa"/>
            <w:shd w:val="clear" w:color="auto" w:fill="auto"/>
            <w:hideMark/>
          </w:tcPr>
          <w:p w14:paraId="4B8ABA8B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Mike Johnson</w:t>
            </w:r>
          </w:p>
        </w:tc>
      </w:tr>
      <w:tr w:rsidR="00EC42E5" w:rsidRPr="00257B64" w14:paraId="4274F84C" w14:textId="77777777" w:rsidTr="007A46B6">
        <w:trPr>
          <w:trHeight w:val="1248"/>
        </w:trPr>
        <w:tc>
          <w:tcPr>
            <w:tcW w:w="1425" w:type="dxa"/>
            <w:shd w:val="clear" w:color="auto" w:fill="auto"/>
            <w:hideMark/>
          </w:tcPr>
          <w:p w14:paraId="7A8CD0B3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072F5FC9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Public Service Company of Colorado (Xcel Energy)</w:t>
            </w:r>
          </w:p>
        </w:tc>
        <w:tc>
          <w:tcPr>
            <w:tcW w:w="2165" w:type="dxa"/>
            <w:shd w:val="clear" w:color="auto" w:fill="auto"/>
            <w:hideMark/>
          </w:tcPr>
          <w:p w14:paraId="3F7A6621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900" w:type="dxa"/>
            <w:shd w:val="clear" w:color="auto" w:fill="auto"/>
            <w:hideMark/>
          </w:tcPr>
          <w:p w14:paraId="55ACDE19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63D14450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6E36AC18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Gerry Huitt</w:t>
            </w:r>
          </w:p>
        </w:tc>
      </w:tr>
      <w:tr w:rsidR="00EC42E5" w:rsidRPr="00257B64" w14:paraId="073D4415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1C6664E3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lastRenderedPageBreak/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1F3913CF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Public Service Company of Colorado (Xcel Energy)</w:t>
            </w:r>
          </w:p>
        </w:tc>
        <w:tc>
          <w:tcPr>
            <w:tcW w:w="2165" w:type="dxa"/>
            <w:shd w:val="clear" w:color="auto" w:fill="auto"/>
            <w:hideMark/>
          </w:tcPr>
          <w:p w14:paraId="6BB9C0A4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900" w:type="dxa"/>
            <w:shd w:val="clear" w:color="auto" w:fill="auto"/>
            <w:hideMark/>
          </w:tcPr>
          <w:p w14:paraId="5020489E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18EA4C0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58531AF0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Gerry Huitt</w:t>
            </w:r>
          </w:p>
        </w:tc>
      </w:tr>
      <w:tr w:rsidR="00EC42E5" w:rsidRPr="00257B64" w14:paraId="17FADCA2" w14:textId="77777777" w:rsidTr="007A46B6">
        <w:trPr>
          <w:trHeight w:val="1194"/>
        </w:trPr>
        <w:tc>
          <w:tcPr>
            <w:tcW w:w="1425" w:type="dxa"/>
            <w:shd w:val="clear" w:color="auto" w:fill="auto"/>
            <w:hideMark/>
          </w:tcPr>
          <w:p w14:paraId="54697EDE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6E34EF0D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Public Service Company of Colorado (Xcel Energy)</w:t>
            </w:r>
          </w:p>
        </w:tc>
        <w:tc>
          <w:tcPr>
            <w:tcW w:w="2165" w:type="dxa"/>
            <w:shd w:val="clear" w:color="auto" w:fill="auto"/>
            <w:hideMark/>
          </w:tcPr>
          <w:p w14:paraId="7FC3AED8" w14:textId="14513403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Load-Serving Entities (</w:t>
            </w:r>
            <w:r w:rsidR="00257B64" w:rsidRPr="007A46B6">
              <w:rPr>
                <w:rFonts w:asciiTheme="minorHAnsi" w:eastAsia="Times New Roman" w:hAnsiTheme="minorHAnsi" w:cs="Calibri"/>
                <w:color w:val="000000"/>
              </w:rPr>
              <w:t>LSE</w:t>
            </w:r>
            <w:r w:rsidRPr="007A46B6">
              <w:rPr>
                <w:rFonts w:asciiTheme="minorHAnsi" w:eastAsia="Times New Roman" w:hAnsiTheme="minorHAnsi" w:cs="Calibri"/>
                <w:color w:val="000000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11178EAE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4FC96694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7C710C89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Gerry Huitt</w:t>
            </w:r>
          </w:p>
        </w:tc>
      </w:tr>
      <w:tr w:rsidR="00EC42E5" w:rsidRPr="00257B64" w14:paraId="5A762564" w14:textId="77777777" w:rsidTr="007A46B6">
        <w:trPr>
          <w:trHeight w:val="1149"/>
        </w:trPr>
        <w:tc>
          <w:tcPr>
            <w:tcW w:w="1425" w:type="dxa"/>
            <w:shd w:val="clear" w:color="auto" w:fill="auto"/>
            <w:hideMark/>
          </w:tcPr>
          <w:p w14:paraId="0DEEE5E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20F5B6F7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Public Service Company of Colorado (Xcel Energy)</w:t>
            </w:r>
          </w:p>
        </w:tc>
        <w:tc>
          <w:tcPr>
            <w:tcW w:w="2165" w:type="dxa"/>
            <w:shd w:val="clear" w:color="auto" w:fill="auto"/>
            <w:hideMark/>
          </w:tcPr>
          <w:p w14:paraId="0D78ED7D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Electricity Brokers, Aggregators, and Marketers</w:t>
            </w:r>
          </w:p>
        </w:tc>
        <w:tc>
          <w:tcPr>
            <w:tcW w:w="900" w:type="dxa"/>
            <w:shd w:val="clear" w:color="auto" w:fill="auto"/>
            <w:hideMark/>
          </w:tcPr>
          <w:p w14:paraId="733B7A05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4BC51910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635F4F68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Stephen Szablya</w:t>
            </w:r>
          </w:p>
        </w:tc>
      </w:tr>
      <w:tr w:rsidR="00EC42E5" w:rsidRPr="00257B64" w14:paraId="5948BA09" w14:textId="77777777" w:rsidTr="007A46B6">
        <w:trPr>
          <w:trHeight w:val="330"/>
        </w:trPr>
        <w:tc>
          <w:tcPr>
            <w:tcW w:w="1425" w:type="dxa"/>
            <w:shd w:val="clear" w:color="auto" w:fill="auto"/>
            <w:hideMark/>
          </w:tcPr>
          <w:p w14:paraId="01855AA7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73F36CAA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Los Angeles Department of Water and Power</w:t>
            </w:r>
          </w:p>
        </w:tc>
        <w:tc>
          <w:tcPr>
            <w:tcW w:w="2165" w:type="dxa"/>
            <w:shd w:val="clear" w:color="auto" w:fill="auto"/>
            <w:hideMark/>
          </w:tcPr>
          <w:p w14:paraId="5C9CB835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Electricity Brokers, Aggregators, and Marketers</w:t>
            </w:r>
          </w:p>
        </w:tc>
        <w:tc>
          <w:tcPr>
            <w:tcW w:w="900" w:type="dxa"/>
            <w:shd w:val="clear" w:color="auto" w:fill="auto"/>
            <w:hideMark/>
          </w:tcPr>
          <w:p w14:paraId="0353B7C7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1620" w:type="dxa"/>
            <w:shd w:val="clear" w:color="auto" w:fill="auto"/>
            <w:hideMark/>
          </w:tcPr>
          <w:p w14:paraId="3DBDFDB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3CBA7C8B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Scott Hirashima</w:t>
            </w:r>
          </w:p>
        </w:tc>
      </w:tr>
      <w:tr w:rsidR="00EC42E5" w:rsidRPr="00257B64" w14:paraId="516FB6A8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5615C76E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1C90B0D6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Los Angeles Department of Water and Power</w:t>
            </w:r>
          </w:p>
        </w:tc>
        <w:tc>
          <w:tcPr>
            <w:tcW w:w="2165" w:type="dxa"/>
            <w:shd w:val="clear" w:color="auto" w:fill="auto"/>
            <w:hideMark/>
          </w:tcPr>
          <w:p w14:paraId="75DCCE77" w14:textId="6C9F255D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Load-Serving Entities (</w:t>
            </w:r>
            <w:r w:rsidR="00257B64" w:rsidRPr="007A46B6">
              <w:rPr>
                <w:rFonts w:asciiTheme="minorHAnsi" w:eastAsia="Times New Roman" w:hAnsiTheme="minorHAnsi" w:cs="Calibri"/>
                <w:color w:val="000000"/>
              </w:rPr>
              <w:t>LSE</w:t>
            </w:r>
            <w:r w:rsidRPr="007A46B6">
              <w:rPr>
                <w:rFonts w:asciiTheme="minorHAnsi" w:eastAsia="Times New Roman" w:hAnsiTheme="minorHAnsi" w:cs="Calibri"/>
                <w:color w:val="000000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32E9AB6F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1620" w:type="dxa"/>
            <w:shd w:val="clear" w:color="auto" w:fill="auto"/>
            <w:hideMark/>
          </w:tcPr>
          <w:p w14:paraId="4962931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65B0F9E5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Scott Hirashima</w:t>
            </w:r>
          </w:p>
        </w:tc>
      </w:tr>
      <w:tr w:rsidR="00EC42E5" w:rsidRPr="00257B64" w14:paraId="52F8C4EA" w14:textId="77777777" w:rsidTr="007A46B6">
        <w:trPr>
          <w:trHeight w:val="630"/>
        </w:trPr>
        <w:tc>
          <w:tcPr>
            <w:tcW w:w="1425" w:type="dxa"/>
            <w:shd w:val="clear" w:color="auto" w:fill="auto"/>
            <w:hideMark/>
          </w:tcPr>
          <w:p w14:paraId="45BF3D86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54A8062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Los Angeles Department of Water and Power</w:t>
            </w:r>
          </w:p>
        </w:tc>
        <w:tc>
          <w:tcPr>
            <w:tcW w:w="2165" w:type="dxa"/>
            <w:shd w:val="clear" w:color="auto" w:fill="auto"/>
            <w:hideMark/>
          </w:tcPr>
          <w:p w14:paraId="4D0038FE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900" w:type="dxa"/>
            <w:shd w:val="clear" w:color="auto" w:fill="auto"/>
            <w:hideMark/>
          </w:tcPr>
          <w:p w14:paraId="1C973EAB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1620" w:type="dxa"/>
            <w:shd w:val="clear" w:color="auto" w:fill="auto"/>
            <w:hideMark/>
          </w:tcPr>
          <w:p w14:paraId="714BEA27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0862D7AD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Scott Hirashima</w:t>
            </w:r>
          </w:p>
        </w:tc>
      </w:tr>
      <w:tr w:rsidR="00EC42E5" w:rsidRPr="00257B64" w14:paraId="667C9E72" w14:textId="77777777" w:rsidTr="007A46B6">
        <w:trPr>
          <w:trHeight w:val="897"/>
        </w:trPr>
        <w:tc>
          <w:tcPr>
            <w:tcW w:w="1425" w:type="dxa"/>
            <w:shd w:val="clear" w:color="auto" w:fill="auto"/>
            <w:hideMark/>
          </w:tcPr>
          <w:p w14:paraId="2CA72046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WECC-0149</w:t>
            </w:r>
          </w:p>
        </w:tc>
        <w:tc>
          <w:tcPr>
            <w:tcW w:w="1795" w:type="dxa"/>
            <w:shd w:val="clear" w:color="auto" w:fill="auto"/>
            <w:hideMark/>
          </w:tcPr>
          <w:p w14:paraId="228DDA0C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Los Angeles Department of Water and Power</w:t>
            </w:r>
          </w:p>
        </w:tc>
        <w:tc>
          <w:tcPr>
            <w:tcW w:w="2165" w:type="dxa"/>
            <w:shd w:val="clear" w:color="auto" w:fill="auto"/>
            <w:hideMark/>
          </w:tcPr>
          <w:p w14:paraId="36F2D62D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900" w:type="dxa"/>
            <w:shd w:val="clear" w:color="auto" w:fill="auto"/>
            <w:hideMark/>
          </w:tcPr>
          <w:p w14:paraId="1D0F51B2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1620" w:type="dxa"/>
            <w:shd w:val="clear" w:color="auto" w:fill="auto"/>
            <w:hideMark/>
          </w:tcPr>
          <w:p w14:paraId="6FBDC8DE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hideMark/>
          </w:tcPr>
          <w:p w14:paraId="5ECFD71F" w14:textId="77777777" w:rsidR="00EC42E5" w:rsidRPr="007A46B6" w:rsidRDefault="00EC42E5" w:rsidP="00EC42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A46B6">
              <w:rPr>
                <w:rFonts w:asciiTheme="minorHAnsi" w:eastAsia="Times New Roman" w:hAnsiTheme="minorHAnsi" w:cs="Calibri"/>
                <w:color w:val="000000"/>
              </w:rPr>
              <w:t>Scott Hirashima</w:t>
            </w:r>
          </w:p>
        </w:tc>
      </w:tr>
    </w:tbl>
    <w:p w14:paraId="474D39A9" w14:textId="77777777" w:rsidR="00184878" w:rsidRPr="00F0162A" w:rsidRDefault="00184878" w:rsidP="00F0162A"/>
    <w:sectPr w:rsidR="00184878" w:rsidRPr="00F0162A" w:rsidSect="00E60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8FE" w14:textId="77777777" w:rsidR="00CC51AB" w:rsidRDefault="00CC51AB" w:rsidP="00E60569">
      <w:r>
        <w:separator/>
      </w:r>
    </w:p>
    <w:p w14:paraId="2B6D8D7F" w14:textId="77777777" w:rsidR="00CC51AB" w:rsidRDefault="00CC51AB" w:rsidP="00E60569"/>
  </w:endnote>
  <w:endnote w:type="continuationSeparator" w:id="0">
    <w:p w14:paraId="5E103D14" w14:textId="77777777" w:rsidR="00CC51AB" w:rsidRDefault="00CC51AB" w:rsidP="00E60569">
      <w:r>
        <w:continuationSeparator/>
      </w:r>
    </w:p>
    <w:p w14:paraId="3004075A" w14:textId="77777777" w:rsidR="00CC51AB" w:rsidRDefault="00CC51AB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A948" w14:textId="77777777" w:rsidR="00C82586" w:rsidRDefault="00C82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0CEE1C3B" w14:textId="77777777" w:rsidR="00E115FD" w:rsidRPr="00E5288E" w:rsidRDefault="00FE6A90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0DD9D88B" wp14:editId="7954FF72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D4397C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AC42" w14:textId="77777777" w:rsidR="00323BC9" w:rsidRPr="00786381" w:rsidRDefault="00786381" w:rsidP="00786381">
    <w:pPr>
      <w:pStyle w:val="FooterPG1"/>
      <w:pBdr>
        <w:top w:val="single" w:sz="48" w:space="1" w:color="00395D" w:themeColor="accent1"/>
        <w:bottom w:val="single" w:sz="48" w:space="1" w:color="00395D" w:themeColor="accent1"/>
      </w:pBdr>
      <w:shd w:val="clear" w:color="auto" w:fill="00395D" w:themeFill="accent1"/>
      <w:rPr>
        <w:color w:val="FFFFFF" w:themeColor="background1"/>
        <w:sz w:val="22"/>
      </w:rPr>
    </w:pPr>
    <w:r w:rsidRPr="00786381">
      <w:rPr>
        <w:color w:val="FFFFFF" w:themeColor="background1"/>
        <w:sz w:val="22"/>
      </w:rPr>
      <w:t>155 North 400 West | Suite 200 | Salt Lake City, Utah 84103</w:t>
    </w:r>
    <w:r w:rsidRPr="00786381">
      <w:rPr>
        <w:color w:val="FFFFFF" w:themeColor="background1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3386" w14:textId="77777777" w:rsidR="00CC51AB" w:rsidRDefault="00CC51AB" w:rsidP="00E60569">
      <w:r>
        <w:separator/>
      </w:r>
    </w:p>
    <w:p w14:paraId="537E7358" w14:textId="77777777" w:rsidR="00CC51AB" w:rsidRDefault="00CC51AB" w:rsidP="00E60569"/>
  </w:footnote>
  <w:footnote w:type="continuationSeparator" w:id="0">
    <w:p w14:paraId="0A230479" w14:textId="77777777" w:rsidR="00CC51AB" w:rsidRDefault="00CC51AB" w:rsidP="00E60569">
      <w:r>
        <w:continuationSeparator/>
      </w:r>
    </w:p>
    <w:p w14:paraId="7C6F5950" w14:textId="77777777" w:rsidR="00CC51AB" w:rsidRDefault="00CC51AB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FFD0" w14:textId="3D5FB412" w:rsidR="00321F31" w:rsidRDefault="00321F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8BDA34" wp14:editId="7C5991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AF97B" w14:textId="15F18FAC" w:rsidR="00321F31" w:rsidRPr="00321F31" w:rsidRDefault="00321F31" w:rsidP="00321F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1F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BD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F6AF97B" w14:textId="15F18FAC" w:rsidR="00321F31" w:rsidRPr="00321F31" w:rsidRDefault="00321F31" w:rsidP="00321F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21F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5A36" w14:textId="0E7F7A3B" w:rsidR="00E115FD" w:rsidRPr="00354D5D" w:rsidRDefault="00321F31" w:rsidP="00354D5D">
    <w:pPr>
      <w:pStyle w:val="Header"/>
      <w:contextualSpacing w:val="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80E454" wp14:editId="08627D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5983A" w14:textId="173DB174" w:rsidR="00321F31" w:rsidRPr="00321F31" w:rsidRDefault="00321F31" w:rsidP="00321F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1F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0E4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2D5983A" w14:textId="173DB174" w:rsidR="00321F31" w:rsidRPr="00321F31" w:rsidRDefault="00321F31" w:rsidP="00321F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21F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4D5D">
      <w:t>Final Ballot Results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B1E8" w14:textId="5E1A98DF" w:rsidR="00E60569" w:rsidRDefault="00321F31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678C36" wp14:editId="2326B483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7356D" w14:textId="2C196952" w:rsidR="00321F31" w:rsidRPr="00321F31" w:rsidRDefault="00321F31" w:rsidP="00321F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1F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78C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687356D" w14:textId="2C196952" w:rsidR="00321F31" w:rsidRPr="00321F31" w:rsidRDefault="00321F31" w:rsidP="00321F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21F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4CD8A609" wp14:editId="2E667738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AF2E80" w14:textId="26FC7393" w:rsidR="00361F3C" w:rsidRPr="00361F3C" w:rsidRDefault="00361F3C" w:rsidP="00361F3C">
    <w:pPr>
      <w:pStyle w:val="Header"/>
    </w:pPr>
    <w:bookmarkStart w:id="0" w:name="_Hlk535242431"/>
    <w:bookmarkStart w:id="1" w:name="_Hlk535242432"/>
    <w:bookmarkStart w:id="2" w:name="_Hlk535242433"/>
    <w:bookmarkStart w:id="3" w:name="_Hlk535242435"/>
    <w:bookmarkStart w:id="4" w:name="_Hlk535242436"/>
    <w:bookmarkStart w:id="5" w:name="_Hlk535242437"/>
    <w:bookmarkStart w:id="6" w:name="_Hlk535242438"/>
    <w:bookmarkStart w:id="7" w:name="_Hlk535242439"/>
    <w:bookmarkStart w:id="8" w:name="_Hlk535242440"/>
    <w:bookmarkStart w:id="9" w:name="_Hlk1719393"/>
    <w:r w:rsidRPr="00361F3C">
      <w:t>Attachment M-</w:t>
    </w:r>
    <w:r>
      <w:t>2</w:t>
    </w:r>
  </w:p>
  <w:p w14:paraId="3397AB3C" w14:textId="77777777" w:rsidR="00361F3C" w:rsidRPr="00361F3C" w:rsidRDefault="00361F3C" w:rsidP="00361F3C">
    <w:pPr>
      <w:pStyle w:val="Header"/>
    </w:pPr>
    <w:r w:rsidRPr="00361F3C">
      <w:t>Ballot Pool Members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5C90E241" w14:textId="75EFB656" w:rsidR="00361F3C" w:rsidRPr="00361F3C" w:rsidRDefault="00361F3C" w:rsidP="00361F3C">
    <w:pPr>
      <w:pStyle w:val="Header"/>
    </w:pPr>
    <w:r w:rsidRPr="00361F3C">
      <w:t>WECC-014</w:t>
    </w:r>
    <w:r>
      <w:t>9</w:t>
    </w:r>
    <w:r w:rsidRPr="00361F3C">
      <w:t xml:space="preserve"> FAC-501-WECC-</w:t>
    </w:r>
    <w:r>
      <w:t>4</w:t>
    </w:r>
  </w:p>
  <w:p w14:paraId="5A333769" w14:textId="72D081F3" w:rsidR="00F0162A" w:rsidRDefault="00361F3C" w:rsidP="00361F3C">
    <w:pPr>
      <w:pStyle w:val="Header"/>
    </w:pPr>
    <w:r w:rsidRPr="00361F3C">
      <w:t>Transmission Maintenance</w:t>
    </w:r>
  </w:p>
  <w:p w14:paraId="7DFB38FC" w14:textId="77777777" w:rsidR="00C82586" w:rsidRPr="00AE544F" w:rsidRDefault="00C82586" w:rsidP="00361F3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4EAA238F"/>
    <w:multiLevelType w:val="hybridMultilevel"/>
    <w:tmpl w:val="95FE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1232">
    <w:abstractNumId w:val="8"/>
  </w:num>
  <w:num w:numId="2" w16cid:durableId="1181242063">
    <w:abstractNumId w:val="4"/>
  </w:num>
  <w:num w:numId="3" w16cid:durableId="1661543481">
    <w:abstractNumId w:val="0"/>
  </w:num>
  <w:num w:numId="4" w16cid:durableId="1767843823">
    <w:abstractNumId w:val="1"/>
  </w:num>
  <w:num w:numId="5" w16cid:durableId="2143691407">
    <w:abstractNumId w:val="9"/>
  </w:num>
  <w:num w:numId="6" w16cid:durableId="298540328">
    <w:abstractNumId w:val="2"/>
  </w:num>
  <w:num w:numId="7" w16cid:durableId="2060084287">
    <w:abstractNumId w:val="7"/>
  </w:num>
  <w:num w:numId="8" w16cid:durableId="983965834">
    <w:abstractNumId w:val="5"/>
  </w:num>
  <w:num w:numId="9" w16cid:durableId="1761632236">
    <w:abstractNumId w:val="6"/>
  </w:num>
  <w:num w:numId="10" w16cid:durableId="2015565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UwsjQxM7U0tDBW0lEKTi0uzszPAykwrAUA3/b5NCwAAAA="/>
  </w:docVars>
  <w:rsids>
    <w:rsidRoot w:val="003E15BF"/>
    <w:rsid w:val="00027F1D"/>
    <w:rsid w:val="000956DA"/>
    <w:rsid w:val="000A1755"/>
    <w:rsid w:val="000F614E"/>
    <w:rsid w:val="00111600"/>
    <w:rsid w:val="001636D2"/>
    <w:rsid w:val="00184878"/>
    <w:rsid w:val="001B7CE9"/>
    <w:rsid w:val="002267AC"/>
    <w:rsid w:val="002508D0"/>
    <w:rsid w:val="00257B64"/>
    <w:rsid w:val="002B4DA5"/>
    <w:rsid w:val="002E1330"/>
    <w:rsid w:val="00321F31"/>
    <w:rsid w:val="00323BC9"/>
    <w:rsid w:val="003472A3"/>
    <w:rsid w:val="00354D5D"/>
    <w:rsid w:val="00361F3C"/>
    <w:rsid w:val="00362961"/>
    <w:rsid w:val="003B0FC3"/>
    <w:rsid w:val="003E15BF"/>
    <w:rsid w:val="003E1973"/>
    <w:rsid w:val="0043738A"/>
    <w:rsid w:val="004D1F97"/>
    <w:rsid w:val="00550DB3"/>
    <w:rsid w:val="00603CB7"/>
    <w:rsid w:val="007130D6"/>
    <w:rsid w:val="00744D03"/>
    <w:rsid w:val="00761FA8"/>
    <w:rsid w:val="00786381"/>
    <w:rsid w:val="007A46B6"/>
    <w:rsid w:val="007A46E1"/>
    <w:rsid w:val="0082018D"/>
    <w:rsid w:val="008E7488"/>
    <w:rsid w:val="008F317E"/>
    <w:rsid w:val="008F3E53"/>
    <w:rsid w:val="00991905"/>
    <w:rsid w:val="009A4D48"/>
    <w:rsid w:val="009B19EE"/>
    <w:rsid w:val="009E040B"/>
    <w:rsid w:val="009E1D07"/>
    <w:rsid w:val="00A13E9F"/>
    <w:rsid w:val="00A323FE"/>
    <w:rsid w:val="00AE544F"/>
    <w:rsid w:val="00B80E7A"/>
    <w:rsid w:val="00BA7DBE"/>
    <w:rsid w:val="00BC23EE"/>
    <w:rsid w:val="00BF79BD"/>
    <w:rsid w:val="00C05765"/>
    <w:rsid w:val="00C82586"/>
    <w:rsid w:val="00CC51AB"/>
    <w:rsid w:val="00CE3D1A"/>
    <w:rsid w:val="00CF774D"/>
    <w:rsid w:val="00D4173A"/>
    <w:rsid w:val="00D4397C"/>
    <w:rsid w:val="00E115FD"/>
    <w:rsid w:val="00E5288E"/>
    <w:rsid w:val="00E5719E"/>
    <w:rsid w:val="00E60569"/>
    <w:rsid w:val="00E652AB"/>
    <w:rsid w:val="00EA2394"/>
    <w:rsid w:val="00EC42E5"/>
    <w:rsid w:val="00F0162A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6FE4A"/>
  <w15:chartTrackingRefBased/>
  <w15:docId w15:val="{578A7F3B-8FCC-46D9-A135-02081929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A46E1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8F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Lucida Sans" w:hAnsi="Lucida Sans"/>
        <w:b/>
        <w:bCs/>
        <w:color w:val="FFFFFF" w:themeColor="background1"/>
        <w:sz w:val="20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  <w:tblStylePr w:type="se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  <w:tblStylePr w:type="sw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table" w:styleId="GridTable4-Accent1">
    <w:name w:val="Grid Table 4 Accent 1"/>
    <w:basedOn w:val="TableNormal"/>
    <w:uiPriority w:val="49"/>
    <w:rsid w:val="003B0FC3"/>
    <w:pPr>
      <w:spacing w:after="0" w:line="240" w:lineRule="auto"/>
    </w:pPr>
    <w:tblPr>
      <w:tblStyleRowBandSize w:val="1"/>
      <w:tblStyleColBandSize w:val="1"/>
      <w:tblBorders>
        <w:top w:val="single" w:sz="4" w:space="0" w:color="049DFF" w:themeColor="accent1" w:themeTint="99"/>
        <w:left w:val="single" w:sz="4" w:space="0" w:color="049DFF" w:themeColor="accent1" w:themeTint="99"/>
        <w:bottom w:val="single" w:sz="4" w:space="0" w:color="049DFF" w:themeColor="accent1" w:themeTint="99"/>
        <w:right w:val="single" w:sz="4" w:space="0" w:color="049DFF" w:themeColor="accent1" w:themeTint="99"/>
        <w:insideH w:val="single" w:sz="4" w:space="0" w:color="049DFF" w:themeColor="accent1" w:themeTint="99"/>
        <w:insideV w:val="single" w:sz="4" w:space="0" w:color="049DFF" w:themeColor="accent1" w:themeTint="99"/>
      </w:tblBorders>
    </w:tblPr>
    <w:tblStylePr w:type="firstRow">
      <w:rPr>
        <w:rFonts w:asciiTheme="minorHAnsi" w:hAnsiTheme="minorHAnsi"/>
        <w:b/>
        <w:bCs/>
        <w:color w:val="FFFFFF" w:themeColor="background1"/>
        <w:sz w:val="18"/>
      </w:rPr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nil"/>
          <w:insideV w:val="nil"/>
        </w:tcBorders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</w:tcPr>
    </w:tblStylePr>
    <w:tblStylePr w:type="firstCol">
      <w:rPr>
        <w:b/>
        <w:bCs/>
      </w:rPr>
      <w:tblPr/>
      <w:tcPr>
        <w:shd w:val="clear" w:color="auto" w:fill="6D2D41" w:themeFill="accent3"/>
      </w:tc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1" w:themeFillTint="33"/>
      </w:tcPr>
    </w:tblStylePr>
    <w:tblStylePr w:type="band1Horz">
      <w:tblPr/>
      <w:tcPr>
        <w:shd w:val="clear" w:color="auto" w:fill="ABDEFF" w:themeFill="accent1" w:themeFillTint="33"/>
      </w:tcPr>
    </w:tblStylePr>
  </w:style>
  <w:style w:type="table" w:customStyle="1" w:styleId="BallotResults">
    <w:name w:val="Ballot Results"/>
    <w:basedOn w:val="TableNormal"/>
    <w:uiPriority w:val="99"/>
    <w:rsid w:val="008F317E"/>
    <w:pPr>
      <w:spacing w:after="0" w:line="240" w:lineRule="auto"/>
      <w:jc w:val="right"/>
    </w:pPr>
    <w:rPr>
      <w:rFonts w:ascii="Palatino Linotype" w:hAnsi="Palatino Linotype"/>
      <w:sz w:val="20"/>
    </w:rPr>
    <w:tblPr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  <w:insideH w:val="single" w:sz="4" w:space="0" w:color="00395D" w:themeColor="accent1"/>
        <w:insideV w:val="single" w:sz="4" w:space="0" w:color="00395D" w:themeColor="accent1"/>
      </w:tblBorders>
    </w:tblPr>
    <w:tcPr>
      <w:shd w:val="clear" w:color="auto" w:fill="auto"/>
      <w:tcMar>
        <w:top w:w="14" w:type="dxa"/>
        <w:left w:w="115" w:type="dxa"/>
        <w:bottom w:w="14" w:type="dxa"/>
        <w:right w:w="115" w:type="dxa"/>
      </w:tcMar>
      <w:vAlign w:val="bottom"/>
    </w:tcPr>
    <w:tblStylePr w:type="firstRow">
      <w:pPr>
        <w:jc w:val="center"/>
      </w:pPr>
      <w:rPr>
        <w:rFonts w:asciiTheme="majorHAnsi" w:hAnsiTheme="majorHAnsi"/>
        <w:b/>
        <w:sz w:val="18"/>
      </w:rPr>
      <w:tblPr/>
      <w:tcPr>
        <w:shd w:val="clear" w:color="auto" w:fill="005172"/>
      </w:tcPr>
    </w:tblStylePr>
    <w:tblStylePr w:type="lastRow">
      <w:rPr>
        <w:b/>
        <w:color w:val="FFFFFF" w:themeColor="background1"/>
      </w:rPr>
      <w:tblPr/>
      <w:tcPr>
        <w:shd w:val="clear" w:color="auto" w:fill="A99260" w:themeFill="accent5"/>
      </w:tcPr>
    </w:tblStylePr>
    <w:tblStylePr w:type="firstCol">
      <w:pPr>
        <w:jc w:val="left"/>
      </w:pPr>
      <w:rPr>
        <w:b/>
        <w:color w:val="auto"/>
      </w:rPr>
      <w:tblPr/>
      <w:tcPr>
        <w:shd w:val="clear" w:color="auto" w:fill="9FBB58"/>
        <w:vAlign w:val="top"/>
      </w:tcPr>
    </w:tblStylePr>
  </w:style>
  <w:style w:type="table" w:customStyle="1" w:styleId="BallotResults1">
    <w:name w:val="Ballot Results1"/>
    <w:basedOn w:val="TableNormal"/>
    <w:uiPriority w:val="99"/>
    <w:rsid w:val="00D4397C"/>
    <w:pPr>
      <w:spacing w:after="0" w:line="240" w:lineRule="auto"/>
      <w:jc w:val="right"/>
    </w:pPr>
    <w:rPr>
      <w:rFonts w:ascii="Palatino Linotype" w:hAnsi="Palatino Linotype"/>
      <w:sz w:val="20"/>
    </w:rPr>
    <w:tblPr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  <w:insideH w:val="single" w:sz="4" w:space="0" w:color="00395D" w:themeColor="accent1"/>
        <w:insideV w:val="single" w:sz="4" w:space="0" w:color="00395D" w:themeColor="accent1"/>
      </w:tblBorders>
    </w:tblPr>
    <w:tcPr>
      <w:shd w:val="clear" w:color="auto" w:fill="auto"/>
      <w:tcMar>
        <w:top w:w="14" w:type="dxa"/>
        <w:left w:w="115" w:type="dxa"/>
        <w:bottom w:w="14" w:type="dxa"/>
        <w:right w:w="115" w:type="dxa"/>
      </w:tcMar>
      <w:vAlign w:val="bottom"/>
    </w:tcPr>
    <w:tblStylePr w:type="firstRow">
      <w:pPr>
        <w:jc w:val="center"/>
      </w:pPr>
      <w:rPr>
        <w:rFonts w:asciiTheme="majorHAnsi" w:hAnsiTheme="majorHAnsi"/>
        <w:b/>
        <w:sz w:val="18"/>
      </w:rPr>
      <w:tblPr/>
      <w:tcPr>
        <w:shd w:val="clear" w:color="auto" w:fill="005172"/>
      </w:tcPr>
    </w:tblStylePr>
    <w:tblStylePr w:type="lastRow">
      <w:rPr>
        <w:b/>
        <w:color w:val="FFFFFF" w:themeColor="background1"/>
      </w:rPr>
      <w:tblPr/>
      <w:tcPr>
        <w:shd w:val="clear" w:color="auto" w:fill="A99260" w:themeFill="accent5"/>
      </w:tcPr>
    </w:tblStylePr>
    <w:tblStylePr w:type="firstCol">
      <w:pPr>
        <w:jc w:val="left"/>
      </w:pPr>
      <w:rPr>
        <w:b/>
        <w:color w:val="auto"/>
      </w:rPr>
      <w:tblPr/>
      <w:tcPr>
        <w:shd w:val="clear" w:color="auto" w:fill="9FBB58"/>
        <w:vAlign w:val="top"/>
      </w:tcPr>
    </w:tblStylePr>
  </w:style>
  <w:style w:type="paragraph" w:styleId="Revision">
    <w:name w:val="Revision"/>
    <w:hidden/>
    <w:uiPriority w:val="99"/>
    <w:semiHidden/>
    <w:rsid w:val="00257B64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ttachment_N_Final%20Ballot%20Results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YWEQ7USXTMD7-3-13839</_dlc_DocId>
    <_dlc_DocIdUrl xmlns="4bd63098-0c83-43cf-abdd-085f2cc55a51">
      <Url>https://internal.wecc.org/_layouts/15/DocIdRedir.aspx?ID=YWEQ7USXTMD7-3-13839</Url>
      <Description>YWEQ7USXTMD7-3-13839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CACABCFF-6D22-4F38-BBAD-D5E1D2241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5C6BD-C0A6-49A2-BA42-33CD86386536}"/>
</file>

<file path=customXml/itemProps3.xml><?xml version="1.0" encoding="utf-8"?>
<ds:datastoreItem xmlns:ds="http://schemas.openxmlformats.org/officeDocument/2006/customXml" ds:itemID="{22C3EEB0-9715-4911-A319-CB692D0F623A}"/>
</file>

<file path=customXml/itemProps4.xml><?xml version="1.0" encoding="utf-8"?>
<ds:datastoreItem xmlns:ds="http://schemas.openxmlformats.org/officeDocument/2006/customXml" ds:itemID="{A1267D74-6A5C-4547-87F2-B78A35F406BD}"/>
</file>

<file path=customXml/itemProps5.xml><?xml version="1.0" encoding="utf-8"?>
<ds:datastoreItem xmlns:ds="http://schemas.openxmlformats.org/officeDocument/2006/customXml" ds:itemID="{58A1B840-C47E-4C2A-8C1F-404923B2F55D}"/>
</file>

<file path=docProps/app.xml><?xml version="1.0" encoding="utf-8"?>
<Properties xmlns="http://schemas.openxmlformats.org/officeDocument/2006/extended-properties" xmlns:vt="http://schemas.openxmlformats.org/officeDocument/2006/docPropsVTypes">
  <Template>Attachment_N_Final Ballot Results</Template>
  <TotalTime>22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 - Attachment M-2 Ballot Pool WECC-0149</dc:title>
  <dc:subject/>
  <dc:creator>Donovan Crane</dc:creator>
  <cp:keywords>NERCFilings; WECC-0149; NERC Filings</cp:keywords>
  <dc:description/>
  <cp:lastModifiedBy>Rueckert, Steve</cp:lastModifiedBy>
  <cp:revision>6</cp:revision>
  <cp:lastPrinted>2019-01-04T22:00:00Z</cp:lastPrinted>
  <dcterms:created xsi:type="dcterms:W3CDTF">2023-07-10T20:26:00Z</dcterms:created>
  <dcterms:modified xsi:type="dcterms:W3CDTF">2024-02-23T22:48:00Z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adc59bfb825eaf38e74381b51660da882b713dab2f3effb7d0c89e4f446239a8</vt:lpwstr>
  </property>
  <property fmtid="{D5CDD505-2E9C-101B-9397-08002B2CF9AE}" pid="3" name="ClassificationContentMarkingHeaderShapeIds">
    <vt:lpwstr>2,3,5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&lt;Public&gt;</vt:lpwstr>
  </property>
  <property fmtid="{D5CDD505-2E9C-101B-9397-08002B2CF9AE}" pid="6" name="MSIP_Label_878e9819-3d07-47f7-9697-834686d925a0_Enabled">
    <vt:lpwstr>true</vt:lpwstr>
  </property>
  <property fmtid="{D5CDD505-2E9C-101B-9397-08002B2CF9AE}" pid="7" name="MSIP_Label_878e9819-3d07-47f7-9697-834686d925a0_SetDate">
    <vt:lpwstr>2023-07-10T20:18:34Z</vt:lpwstr>
  </property>
  <property fmtid="{D5CDD505-2E9C-101B-9397-08002B2CF9AE}" pid="8" name="MSIP_Label_878e9819-3d07-47f7-9697-834686d925a0_Method">
    <vt:lpwstr>Privileged</vt:lpwstr>
  </property>
  <property fmtid="{D5CDD505-2E9C-101B-9397-08002B2CF9AE}" pid="9" name="MSIP_Label_878e9819-3d07-47f7-9697-834686d925a0_Name">
    <vt:lpwstr>Public</vt:lpwstr>
  </property>
  <property fmtid="{D5CDD505-2E9C-101B-9397-08002B2CF9AE}" pid="10" name="MSIP_Label_878e9819-3d07-47f7-9697-834686d925a0_SiteId">
    <vt:lpwstr>fd6f305d-c929-4e10-9d46-2e7058aae5e6</vt:lpwstr>
  </property>
  <property fmtid="{D5CDD505-2E9C-101B-9397-08002B2CF9AE}" pid="11" name="MSIP_Label_878e9819-3d07-47f7-9697-834686d925a0_ActionId">
    <vt:lpwstr>9ec352b9-2c2e-4ddc-92fb-9b2f94781012</vt:lpwstr>
  </property>
  <property fmtid="{D5CDD505-2E9C-101B-9397-08002B2CF9AE}" pid="12" name="MSIP_Label_878e9819-3d07-47f7-9697-834686d925a0_ContentBits">
    <vt:lpwstr>1</vt:lpwstr>
  </property>
  <property fmtid="{D5CDD505-2E9C-101B-9397-08002B2CF9AE}" pid="13" name="ContentTypeId">
    <vt:lpwstr>0x010100E45EF0F8AAA65E428351BA36F1B645BE1200CA280BBE04EF434C8DECBE67FD58A074</vt:lpwstr>
  </property>
  <property fmtid="{D5CDD505-2E9C-101B-9397-08002B2CF9AE}" pid="14" name="_dlc_DocIdItemGuid">
    <vt:lpwstr>e55ff104-a9b6-4336-b001-546e4c487a07</vt:lpwstr>
  </property>
  <property fmtid="{D5CDD505-2E9C-101B-9397-08002B2CF9AE}" pid="15" name="TaxKeyword">
    <vt:lpwstr>2282;#WECC-0149|aeb87f78-01e4-41a0-a32d-bb9fb8183042;#2419;#NERCFilings|0e89d8f0-e018-45cc-b5bf-f537405b2363;#1539;#NERC Filings|38da0236-f1a7-4cb0-b512-0acfdf6fb813</vt:lpwstr>
  </property>
</Properties>
</file>