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BCD60" w14:textId="77777777" w:rsidR="00860E40" w:rsidRPr="009A4D48" w:rsidRDefault="001A4DD4" w:rsidP="00CC2AB4">
      <w:pPr>
        <w:pStyle w:val="Heading1"/>
        <w:spacing w:before="0" w:after="120"/>
      </w:pPr>
      <w:r>
        <w:t>Overview</w:t>
      </w:r>
    </w:p>
    <w:p w14:paraId="76C298DD" w14:textId="08FF6AB1" w:rsidR="001A4DD4" w:rsidRDefault="001A4DD4" w:rsidP="00CC2AB4">
      <w:pPr>
        <w:rPr>
          <w:bCs/>
        </w:rPr>
      </w:pPr>
      <w:r w:rsidRPr="001A4DD4">
        <w:rPr>
          <w:bCs/>
        </w:rPr>
        <w:t>This Standard Authorization Request (SAR) was received</w:t>
      </w:r>
      <w:r w:rsidR="00D3425C">
        <w:rPr>
          <w:bCs/>
        </w:rPr>
        <w:t xml:space="preserve"> November 23, 2021, </w:t>
      </w:r>
      <w:r w:rsidR="003B3D8C">
        <w:rPr>
          <w:bCs/>
        </w:rPr>
        <w:t>input into the WECC software system on</w:t>
      </w:r>
      <w:r w:rsidR="00D3425C">
        <w:rPr>
          <w:bCs/>
        </w:rPr>
        <w:t xml:space="preserve"> November </w:t>
      </w:r>
      <w:r w:rsidR="00AA4A6D">
        <w:rPr>
          <w:bCs/>
        </w:rPr>
        <w:t xml:space="preserve">23, </w:t>
      </w:r>
      <w:r w:rsidR="00D3425C">
        <w:rPr>
          <w:bCs/>
        </w:rPr>
        <w:t xml:space="preserve">2021, </w:t>
      </w:r>
      <w:r w:rsidRPr="001A4DD4">
        <w:rPr>
          <w:bCs/>
        </w:rPr>
        <w:t xml:space="preserve">and deemed complete </w:t>
      </w:r>
      <w:r w:rsidR="003B3D8C">
        <w:rPr>
          <w:bCs/>
        </w:rPr>
        <w:t>on</w:t>
      </w:r>
      <w:r w:rsidR="00D3425C">
        <w:rPr>
          <w:bCs/>
        </w:rPr>
        <w:t xml:space="preserve"> November 23, 2021.  </w:t>
      </w:r>
      <w:r>
        <w:rPr>
          <w:bCs/>
        </w:rPr>
        <w:t>T</w:t>
      </w:r>
      <w:r w:rsidRPr="001A4DD4">
        <w:rPr>
          <w:bCs/>
        </w:rPr>
        <w:t xml:space="preserve">he WECC Standards Committee (WSC) </w:t>
      </w:r>
      <w:r>
        <w:rPr>
          <w:bCs/>
        </w:rPr>
        <w:t>vetted this SAR on</w:t>
      </w:r>
      <w:r w:rsidR="00D3425C">
        <w:rPr>
          <w:bCs/>
        </w:rPr>
        <w:t xml:space="preserve"> December 7, 2021.  </w:t>
      </w:r>
      <w:r w:rsidR="00070A88">
        <w:rPr>
          <w:bCs/>
        </w:rPr>
        <w:t xml:space="preserve">  </w:t>
      </w:r>
      <w:r>
        <w:rPr>
          <w:bCs/>
        </w:rPr>
        <w:t xml:space="preserve"> </w:t>
      </w:r>
    </w:p>
    <w:p w14:paraId="226F50F2" w14:textId="4B431CDD" w:rsidR="00860E40" w:rsidRPr="00860E40" w:rsidRDefault="00366B46" w:rsidP="00CC2AB4">
      <w:pPr>
        <w:rPr>
          <w:bCs/>
        </w:rPr>
      </w:pPr>
      <w:r>
        <w:rPr>
          <w:bCs/>
        </w:rPr>
        <w:t xml:space="preserve">This SAR </w:t>
      </w:r>
      <w:r w:rsidR="00CC2AB4">
        <w:rPr>
          <w:bCs/>
        </w:rPr>
        <w:t xml:space="preserve">is converted and edited </w:t>
      </w:r>
      <w:r w:rsidR="001C3F13">
        <w:rPr>
          <w:bCs/>
        </w:rPr>
        <w:t>from</w:t>
      </w:r>
      <w:r w:rsidR="00CC2AB4">
        <w:rPr>
          <w:bCs/>
        </w:rPr>
        <w:t xml:space="preserve"> its original </w:t>
      </w:r>
      <w:r w:rsidR="001C3F13">
        <w:rPr>
          <w:bCs/>
        </w:rPr>
        <w:t>“.aspx.”</w:t>
      </w:r>
      <w:r w:rsidR="00CC2AB4">
        <w:rPr>
          <w:bCs/>
        </w:rPr>
        <w:t xml:space="preserve"> format into “.docx.” </w:t>
      </w:r>
      <w:r w:rsidR="001C3F13">
        <w:rPr>
          <w:bCs/>
        </w:rPr>
        <w:t xml:space="preserve">The original can be provided on request.  </w:t>
      </w:r>
      <w:r w:rsidR="001A4DD4">
        <w:rPr>
          <w:bCs/>
        </w:rPr>
        <w:t>If you have question</w:t>
      </w:r>
      <w:r w:rsidR="00F952BA">
        <w:rPr>
          <w:bCs/>
        </w:rPr>
        <w:t>s</w:t>
      </w:r>
      <w:r w:rsidR="001A4DD4">
        <w:rPr>
          <w:bCs/>
        </w:rPr>
        <w:t xml:space="preserve"> regarding this SAR, please contact </w:t>
      </w:r>
      <w:hyperlink r:id="rId8" w:history="1">
        <w:r w:rsidR="008A7ACF">
          <w:rPr>
            <w:rStyle w:val="Hyperlink"/>
            <w:bCs/>
          </w:rPr>
          <w:t>W. Shannon Black</w:t>
        </w:r>
      </w:hyperlink>
      <w:r w:rsidR="008A7ACF">
        <w:rPr>
          <w:bCs/>
        </w:rPr>
        <w:t xml:space="preserve"> </w:t>
      </w:r>
      <w:r w:rsidR="00FB1A8D">
        <w:rPr>
          <w:bCs/>
        </w:rPr>
        <w:t>at</w:t>
      </w:r>
      <w:r w:rsidR="008A7ACF">
        <w:rPr>
          <w:bCs/>
        </w:rPr>
        <w:t xml:space="preserve"> (</w:t>
      </w:r>
      <w:r w:rsidR="00FB1A8D">
        <w:rPr>
          <w:bCs/>
        </w:rPr>
        <w:t>503) 307-5782.</w:t>
      </w:r>
      <w:r w:rsidR="00860E40" w:rsidRPr="00860E40">
        <w:rPr>
          <w:bCs/>
        </w:rPr>
        <w:t xml:space="preserve"> </w:t>
      </w:r>
    </w:p>
    <w:p w14:paraId="238114BB" w14:textId="77777777" w:rsidR="00323BC9" w:rsidRPr="009A4D48" w:rsidRDefault="00B800F9" w:rsidP="00CC2AB4">
      <w:pPr>
        <w:pStyle w:val="Heading1"/>
        <w:spacing w:before="0" w:after="120"/>
      </w:pPr>
      <w:bookmarkStart w:id="0" w:name="_Hlk7528958"/>
      <w:r>
        <w:t>Introduction</w:t>
      </w:r>
    </w:p>
    <w:p w14:paraId="55D53720" w14:textId="77777777" w:rsidR="00EF1CA2" w:rsidRPr="00EF1CA2" w:rsidRDefault="00860E40" w:rsidP="00CC2AB4">
      <w:pPr>
        <w:rPr>
          <w:bCs/>
          <w:i/>
          <w:iCs/>
        </w:rPr>
      </w:pPr>
      <w:r w:rsidRPr="00EF1CA2">
        <w:rPr>
          <w:bCs/>
          <w:i/>
          <w:iCs/>
        </w:rPr>
        <w:t>Provide a brief overview of what you wish to accomplish.</w:t>
      </w:r>
    </w:p>
    <w:p w14:paraId="1D29CEEE" w14:textId="5E0A3605" w:rsidR="006E3099" w:rsidRDefault="006E3099" w:rsidP="00CC2AB4">
      <w:pPr>
        <w:rPr>
          <w:bCs/>
        </w:rPr>
      </w:pPr>
      <w:bookmarkStart w:id="1" w:name="_Hlk5874449"/>
      <w:r>
        <w:rPr>
          <w:bCs/>
        </w:rPr>
        <w:t xml:space="preserve">This is a request </w:t>
      </w:r>
      <w:r w:rsidR="00070A88">
        <w:rPr>
          <w:bCs/>
        </w:rPr>
        <w:t>to modify BAL-004-WECC-3, Automatic Time Error Correction</w:t>
      </w:r>
      <w:r w:rsidR="00E818CC">
        <w:rPr>
          <w:bCs/>
        </w:rPr>
        <w:t xml:space="preserve"> (ATEC)</w:t>
      </w:r>
      <w:r w:rsidR="00070A88">
        <w:rPr>
          <w:bCs/>
        </w:rPr>
        <w:t xml:space="preserve">.  </w:t>
      </w:r>
      <w:r w:rsidR="009A2649">
        <w:rPr>
          <w:bCs/>
        </w:rPr>
        <w:t xml:space="preserve">(The resultant numbering will be BAL-004-WECC-4.)  </w:t>
      </w:r>
      <w:r w:rsidR="00070A88">
        <w:rPr>
          <w:bCs/>
        </w:rPr>
        <w:t>During the course of this modification, the assigned drafting team will also be asked to review the entire document thereby meeting the five-year review requirement of the WECC Reliability Standards Development Procedures.</w:t>
      </w:r>
      <w:r>
        <w:rPr>
          <w:rStyle w:val="FootnoteReference"/>
          <w:bCs/>
        </w:rPr>
        <w:footnoteReference w:id="1"/>
      </w:r>
      <w:r>
        <w:rPr>
          <w:bCs/>
        </w:rPr>
        <w:t xml:space="preserve"> </w:t>
      </w:r>
    </w:p>
    <w:bookmarkEnd w:id="0"/>
    <w:bookmarkEnd w:id="1"/>
    <w:p w14:paraId="67F444A5" w14:textId="77777777" w:rsidR="00323BC9" w:rsidRPr="009A4D48" w:rsidRDefault="00B800F9" w:rsidP="00CC2AB4">
      <w:pPr>
        <w:pStyle w:val="Heading1"/>
        <w:spacing w:before="0" w:after="120"/>
      </w:pPr>
      <w:r>
        <w:t>Requester Information</w:t>
      </w:r>
    </w:p>
    <w:p w14:paraId="20FA5306" w14:textId="77777777" w:rsidR="000A1755" w:rsidRPr="00EF1CA2" w:rsidRDefault="00B800F9" w:rsidP="00CC2AB4">
      <w:pPr>
        <w:rPr>
          <w:i/>
          <w:iCs/>
        </w:rPr>
      </w:pPr>
      <w:r w:rsidRPr="00EF1CA2">
        <w:rPr>
          <w:i/>
          <w:iCs/>
        </w:rPr>
        <w:t>Provide your contact information and your alternate</w:t>
      </w:r>
      <w:r w:rsidR="00CC4A16" w:rsidRPr="00EF1CA2">
        <w:rPr>
          <w:i/>
          <w:iCs/>
        </w:rPr>
        <w:t>’</w:t>
      </w:r>
      <w:r w:rsidRPr="00EF1CA2">
        <w:rPr>
          <w:i/>
          <w:iCs/>
        </w:rPr>
        <w:t>s contact information:</w:t>
      </w:r>
    </w:p>
    <w:p w14:paraId="3E4FC1EE" w14:textId="77777777" w:rsidR="006B1134" w:rsidRDefault="006B1134" w:rsidP="00CC2AB4">
      <w:pPr>
        <w:pStyle w:val="Heading3"/>
        <w:spacing w:before="0" w:after="120"/>
        <w:ind w:firstLine="360"/>
      </w:pPr>
      <w:r>
        <w:t>Primary contact</w:t>
      </w:r>
    </w:p>
    <w:p w14:paraId="14CF9C82" w14:textId="77777777" w:rsidR="00B800F9" w:rsidRDefault="00B800F9" w:rsidP="00CC2AB4">
      <w:pPr>
        <w:pStyle w:val="ListBullet"/>
        <w:tabs>
          <w:tab w:val="left" w:pos="2880"/>
        </w:tabs>
        <w:contextualSpacing w:val="0"/>
      </w:pPr>
      <w:r>
        <w:t>First name:</w:t>
      </w:r>
      <w:r w:rsidR="001A4DD4">
        <w:tab/>
      </w:r>
      <w:r w:rsidR="001A4DD4">
        <w:tab/>
      </w:r>
      <w:r w:rsidR="006E3099">
        <w:t xml:space="preserve">W. Shannon </w:t>
      </w:r>
      <w:r>
        <w:tab/>
      </w:r>
    </w:p>
    <w:p w14:paraId="7BB3E0EB" w14:textId="77777777" w:rsidR="00B800F9" w:rsidRDefault="00B800F9" w:rsidP="00CC2AB4">
      <w:pPr>
        <w:pStyle w:val="ListBullet"/>
        <w:tabs>
          <w:tab w:val="left" w:pos="2880"/>
        </w:tabs>
        <w:contextualSpacing w:val="0"/>
      </w:pPr>
      <w:r>
        <w:t>Last name:</w:t>
      </w:r>
      <w:r>
        <w:tab/>
      </w:r>
      <w:r w:rsidR="001A4DD4">
        <w:tab/>
      </w:r>
      <w:r w:rsidR="006E3099">
        <w:t>Black</w:t>
      </w:r>
    </w:p>
    <w:p w14:paraId="3EC89254" w14:textId="77777777" w:rsidR="00B800F9" w:rsidRDefault="00B800F9" w:rsidP="00CC2AB4">
      <w:pPr>
        <w:pStyle w:val="ListBullet"/>
        <w:tabs>
          <w:tab w:val="left" w:pos="2880"/>
        </w:tabs>
        <w:contextualSpacing w:val="0"/>
      </w:pPr>
      <w:r>
        <w:t>Email:</w:t>
      </w:r>
      <w:r>
        <w:tab/>
      </w:r>
      <w:r w:rsidR="001A4DD4">
        <w:tab/>
      </w:r>
      <w:r w:rsidR="006E3099">
        <w:t>sblack@wecc.org</w:t>
      </w:r>
    </w:p>
    <w:p w14:paraId="2FA27D34" w14:textId="77777777" w:rsidR="00B800F9" w:rsidRDefault="00B800F9" w:rsidP="00CC2AB4">
      <w:pPr>
        <w:pStyle w:val="ListBullet"/>
        <w:tabs>
          <w:tab w:val="left" w:pos="2880"/>
        </w:tabs>
        <w:contextualSpacing w:val="0"/>
      </w:pPr>
      <w:r>
        <w:t>Phone:</w:t>
      </w:r>
      <w:r>
        <w:tab/>
      </w:r>
      <w:r w:rsidR="001A4DD4">
        <w:tab/>
      </w:r>
      <w:r w:rsidR="006E3099">
        <w:t>(503) 307-5782</w:t>
      </w:r>
    </w:p>
    <w:p w14:paraId="07AA01D2" w14:textId="77777777" w:rsidR="00B800F9" w:rsidRDefault="00B800F9" w:rsidP="00CC2AB4">
      <w:pPr>
        <w:pStyle w:val="ListBullet"/>
        <w:tabs>
          <w:tab w:val="left" w:pos="2880"/>
        </w:tabs>
        <w:contextualSpacing w:val="0"/>
      </w:pPr>
      <w:r>
        <w:t>Organization name:</w:t>
      </w:r>
      <w:r>
        <w:tab/>
      </w:r>
      <w:r w:rsidR="001A4DD4">
        <w:tab/>
      </w:r>
      <w:r w:rsidR="006E3099">
        <w:t>Western Electricity Coordinating Council (WECC)</w:t>
      </w:r>
    </w:p>
    <w:p w14:paraId="2014852C" w14:textId="77777777" w:rsidR="006B1134" w:rsidRDefault="006B1134" w:rsidP="00CC2AB4">
      <w:pPr>
        <w:pStyle w:val="Heading3"/>
        <w:spacing w:before="0" w:after="120"/>
        <w:ind w:firstLine="360"/>
      </w:pPr>
      <w:r>
        <w:t>Alternate</w:t>
      </w:r>
    </w:p>
    <w:p w14:paraId="4E459F15" w14:textId="77777777" w:rsidR="006B1134" w:rsidRDefault="006B1134" w:rsidP="00CC2AB4">
      <w:pPr>
        <w:pStyle w:val="ListBullet"/>
        <w:tabs>
          <w:tab w:val="left" w:pos="2880"/>
        </w:tabs>
        <w:contextualSpacing w:val="0"/>
      </w:pPr>
      <w:r>
        <w:t>First name:</w:t>
      </w:r>
      <w:r>
        <w:tab/>
      </w:r>
      <w:r w:rsidR="00063A14">
        <w:tab/>
      </w:r>
      <w:r w:rsidR="006E3099">
        <w:t>Steven</w:t>
      </w:r>
    </w:p>
    <w:p w14:paraId="5FF4C803" w14:textId="77777777" w:rsidR="006B1134" w:rsidRDefault="006B1134" w:rsidP="00CC2AB4">
      <w:pPr>
        <w:pStyle w:val="ListBullet"/>
        <w:tabs>
          <w:tab w:val="left" w:pos="2880"/>
        </w:tabs>
        <w:contextualSpacing w:val="0"/>
      </w:pPr>
      <w:r>
        <w:t>Last name:</w:t>
      </w:r>
      <w:r>
        <w:tab/>
      </w:r>
      <w:r w:rsidR="00063A14">
        <w:tab/>
      </w:r>
      <w:r w:rsidR="006E3099">
        <w:t>Rueckert</w:t>
      </w:r>
    </w:p>
    <w:p w14:paraId="4CA9FDB2" w14:textId="77777777" w:rsidR="006B1134" w:rsidRDefault="006B1134" w:rsidP="00CC2AB4">
      <w:pPr>
        <w:pStyle w:val="ListBullet"/>
        <w:tabs>
          <w:tab w:val="left" w:pos="2880"/>
        </w:tabs>
        <w:contextualSpacing w:val="0"/>
      </w:pPr>
      <w:r>
        <w:t>Email:</w:t>
      </w:r>
      <w:r>
        <w:tab/>
      </w:r>
      <w:r w:rsidR="00063A14">
        <w:tab/>
      </w:r>
      <w:r w:rsidR="006E3099">
        <w:t>srueckert@wecc.org</w:t>
      </w:r>
    </w:p>
    <w:p w14:paraId="30767101" w14:textId="77777777" w:rsidR="00B800F9" w:rsidRDefault="006B1134" w:rsidP="00CC2AB4">
      <w:pPr>
        <w:pStyle w:val="ListBullet"/>
        <w:tabs>
          <w:tab w:val="left" w:pos="2880"/>
        </w:tabs>
        <w:contextualSpacing w:val="0"/>
      </w:pPr>
      <w:r>
        <w:t>Phone:</w:t>
      </w:r>
      <w:r>
        <w:tab/>
      </w:r>
      <w:r w:rsidR="00063A14">
        <w:tab/>
      </w:r>
      <w:r w:rsidR="004D596F">
        <w:t xml:space="preserve">(801) </w:t>
      </w:r>
      <w:r w:rsidR="004D596F" w:rsidRPr="004D596F">
        <w:t>883-6878</w:t>
      </w:r>
    </w:p>
    <w:p w14:paraId="089ECF30" w14:textId="7B49440F" w:rsidR="00CC2AB4" w:rsidRDefault="00CC2AB4" w:rsidP="00CC2AB4">
      <w:pPr>
        <w:pStyle w:val="ListBullet"/>
        <w:tabs>
          <w:tab w:val="left" w:pos="2880"/>
        </w:tabs>
        <w:contextualSpacing w:val="0"/>
      </w:pPr>
      <w:r>
        <w:t>Organization name:</w:t>
      </w:r>
      <w:r>
        <w:tab/>
      </w:r>
      <w:r>
        <w:tab/>
        <w:t>Western Electricity Coordinating Council (WECC)</w:t>
      </w:r>
    </w:p>
    <w:p w14:paraId="4AD9F6F3" w14:textId="77777777" w:rsidR="00B9772D" w:rsidRDefault="00B800F9" w:rsidP="00CC2AB4">
      <w:pPr>
        <w:pStyle w:val="Heading1"/>
        <w:spacing w:before="0" w:after="120"/>
      </w:pPr>
      <w:r>
        <w:t>Type of Request</w:t>
      </w:r>
    </w:p>
    <w:p w14:paraId="26E39BF9" w14:textId="2BD2912F" w:rsidR="00C05765" w:rsidRPr="00D5170E" w:rsidRDefault="00B800F9" w:rsidP="00CC2AB4">
      <w:pPr>
        <w:keepNext/>
        <w:rPr>
          <w:i/>
        </w:rPr>
      </w:pPr>
      <w:r w:rsidRPr="00D5170E">
        <w:rPr>
          <w:i/>
        </w:rPr>
        <w:t>Specify the type of request: (</w:t>
      </w:r>
      <w:r w:rsidR="00CC2AB4">
        <w:rPr>
          <w:i/>
        </w:rPr>
        <w:t>S</w:t>
      </w:r>
      <w:r w:rsidRPr="00D5170E">
        <w:rPr>
          <w:i/>
        </w:rPr>
        <w:t>elect one</w:t>
      </w:r>
      <w:r w:rsidR="00CC2AB4">
        <w:rPr>
          <w:i/>
        </w:rPr>
        <w:t>.</w:t>
      </w:r>
      <w:r w:rsidRPr="00D5170E">
        <w:rPr>
          <w:i/>
        </w:rPr>
        <w:t>)</w:t>
      </w:r>
    </w:p>
    <w:p w14:paraId="04E3752E" w14:textId="7F5172E8" w:rsidR="004D596F" w:rsidRDefault="00063A14" w:rsidP="00CC2AB4">
      <w:pPr>
        <w:keepNext/>
      </w:pPr>
      <w:r>
        <w:t xml:space="preserve">This is a request </w:t>
      </w:r>
      <w:r w:rsidR="008164B8">
        <w:t xml:space="preserve">to modify a WECC Regional </w:t>
      </w:r>
      <w:r w:rsidR="00EF1CA2">
        <w:t xml:space="preserve">Reliability </w:t>
      </w:r>
      <w:r w:rsidR="008164B8">
        <w:t>Standard</w:t>
      </w:r>
      <w:r w:rsidR="00EF1CA2">
        <w:t xml:space="preserve"> (RRS)</w:t>
      </w:r>
      <w:r w:rsidR="008164B8">
        <w:t xml:space="preserve">.  This request also fulfils the mandated five-year review. </w:t>
      </w:r>
      <w:r w:rsidR="004D596F">
        <w:t xml:space="preserve"> </w:t>
      </w:r>
    </w:p>
    <w:p w14:paraId="25131165" w14:textId="77777777" w:rsidR="00B800F9" w:rsidRDefault="00B800F9" w:rsidP="00CC2AB4">
      <w:pPr>
        <w:pStyle w:val="Heading1"/>
        <w:spacing w:before="0" w:after="120"/>
      </w:pPr>
      <w:r>
        <w:t>Create, Modify, Retire</w:t>
      </w:r>
      <w:r w:rsidR="00EE2BAC">
        <w:t xml:space="preserve"> or Review </w:t>
      </w:r>
      <w:r>
        <w:t>a Document</w:t>
      </w:r>
    </w:p>
    <w:p w14:paraId="678F258F" w14:textId="77777777" w:rsidR="00CC4A16" w:rsidRPr="00D5170E" w:rsidRDefault="00CC4A16" w:rsidP="00CC2AB4">
      <w:pPr>
        <w:rPr>
          <w:i/>
        </w:rPr>
      </w:pPr>
      <w:r w:rsidRPr="00D5170E">
        <w:rPr>
          <w:i/>
        </w:rPr>
        <w:t>Provide information for your request to create, modify, retire</w:t>
      </w:r>
      <w:r w:rsidR="00EE2BAC" w:rsidRPr="00D5170E">
        <w:rPr>
          <w:i/>
        </w:rPr>
        <w:t xml:space="preserve"> or review</w:t>
      </w:r>
      <w:r w:rsidRPr="00D5170E">
        <w:rPr>
          <w:i/>
        </w:rPr>
        <w:t xml:space="preserve"> the document.</w:t>
      </w:r>
    </w:p>
    <w:p w14:paraId="79A0BEEE" w14:textId="77777777" w:rsidR="00860E40" w:rsidRPr="00EF1CA2" w:rsidRDefault="00860E40" w:rsidP="00CC2AB4">
      <w:pPr>
        <w:rPr>
          <w:i/>
          <w:iCs/>
        </w:rPr>
      </w:pPr>
      <w:r w:rsidRPr="00EF1CA2">
        <w:rPr>
          <w:i/>
          <w:iCs/>
        </w:rPr>
        <w:t xml:space="preserve">Pick from the dropdown provided in the online form. </w:t>
      </w:r>
    </w:p>
    <w:p w14:paraId="26C9A474" w14:textId="48187C7C" w:rsidR="00CC4A16" w:rsidRDefault="00CC4A16" w:rsidP="00CC2AB4">
      <w:pPr>
        <w:pStyle w:val="Heading3"/>
        <w:spacing w:before="0" w:after="120"/>
      </w:pPr>
      <w:r>
        <w:t>Requested</w:t>
      </w:r>
      <w:r w:rsidR="000571CD">
        <w:t xml:space="preserve"> Action</w:t>
      </w:r>
      <w:r>
        <w:t xml:space="preserve"> </w:t>
      </w:r>
      <w:r w:rsidRPr="00CC2AB4">
        <w:rPr>
          <w:rFonts w:asciiTheme="minorHAnsi" w:hAnsiTheme="minorHAnsi"/>
          <w:b w:val="0"/>
          <w:i/>
          <w:iCs/>
        </w:rPr>
        <w:t>(</w:t>
      </w:r>
      <w:r w:rsidR="00703D0B" w:rsidRPr="00CC2AB4">
        <w:rPr>
          <w:rFonts w:asciiTheme="minorHAnsi" w:hAnsiTheme="minorHAnsi"/>
          <w:b w:val="0"/>
          <w:i/>
          <w:iCs/>
        </w:rPr>
        <w:t>S</w:t>
      </w:r>
      <w:r w:rsidRPr="00CC2AB4">
        <w:rPr>
          <w:rFonts w:asciiTheme="minorHAnsi" w:hAnsiTheme="minorHAnsi"/>
          <w:b w:val="0"/>
          <w:i/>
          <w:iCs/>
        </w:rPr>
        <w:t>elect one</w:t>
      </w:r>
      <w:r w:rsidR="00CC2AB4">
        <w:rPr>
          <w:rFonts w:asciiTheme="minorHAnsi" w:hAnsiTheme="minorHAnsi"/>
          <w:b w:val="0"/>
          <w:i/>
          <w:iCs/>
        </w:rPr>
        <w:t>.</w:t>
      </w:r>
      <w:r w:rsidRPr="00CC2AB4">
        <w:rPr>
          <w:rFonts w:asciiTheme="minorHAnsi" w:hAnsiTheme="minorHAnsi"/>
          <w:b w:val="0"/>
          <w:i/>
          <w:iCs/>
        </w:rPr>
        <w:t>)</w:t>
      </w:r>
    </w:p>
    <w:p w14:paraId="20B6B083" w14:textId="623E84E1" w:rsidR="004D596F" w:rsidRDefault="008164B8" w:rsidP="00CC2AB4">
      <w:pPr>
        <w:pStyle w:val="ListBullet"/>
        <w:contextualSpacing w:val="0"/>
      </w:pPr>
      <w:r w:rsidRPr="008164B8">
        <w:t xml:space="preserve">This is a request to modify a WECC Regional </w:t>
      </w:r>
      <w:r w:rsidR="00EF1CA2">
        <w:t xml:space="preserve">Reliability </w:t>
      </w:r>
      <w:r w:rsidRPr="008164B8">
        <w:t>Standard</w:t>
      </w:r>
      <w:r w:rsidR="00EF1CA2">
        <w:t xml:space="preserve"> (RRS)</w:t>
      </w:r>
      <w:r w:rsidRPr="008164B8">
        <w:t xml:space="preserve">.  This request also fulfils the mandated five-year review.  </w:t>
      </w:r>
      <w:r w:rsidR="004D596F">
        <w:t xml:space="preserve"> </w:t>
      </w:r>
    </w:p>
    <w:p w14:paraId="1B9E582D" w14:textId="77777777" w:rsidR="00B800F9" w:rsidRDefault="000571CD" w:rsidP="00CC2AB4">
      <w:pPr>
        <w:pStyle w:val="Heading3"/>
        <w:spacing w:before="0" w:after="120"/>
      </w:pPr>
      <w:r>
        <w:t>Document Type</w:t>
      </w:r>
      <w:r w:rsidR="00B800F9">
        <w:t xml:space="preserve"> </w:t>
      </w:r>
      <w:r w:rsidR="00B800F9" w:rsidRPr="006B1134">
        <w:rPr>
          <w:rFonts w:asciiTheme="minorHAnsi" w:hAnsiTheme="minorHAnsi"/>
          <w:b w:val="0"/>
        </w:rPr>
        <w:t>(</w:t>
      </w:r>
      <w:r w:rsidR="00703D0B">
        <w:rPr>
          <w:rFonts w:asciiTheme="minorHAnsi" w:hAnsiTheme="minorHAnsi"/>
          <w:b w:val="0"/>
        </w:rPr>
        <w:t>S</w:t>
      </w:r>
      <w:r w:rsidR="00B800F9" w:rsidRPr="006B1134">
        <w:rPr>
          <w:rFonts w:asciiTheme="minorHAnsi" w:hAnsiTheme="minorHAnsi"/>
          <w:b w:val="0"/>
        </w:rPr>
        <w:t>elect one)</w:t>
      </w:r>
    </w:p>
    <w:p w14:paraId="24A96DDF" w14:textId="757CCBDD" w:rsidR="00B800F9" w:rsidRDefault="00063A14" w:rsidP="00CC2AB4">
      <w:pPr>
        <w:pStyle w:val="ListBullet"/>
        <w:contextualSpacing w:val="0"/>
      </w:pPr>
      <w:r>
        <w:t xml:space="preserve">WECC </w:t>
      </w:r>
      <w:r w:rsidR="004D4BB4">
        <w:t xml:space="preserve">Regional </w:t>
      </w:r>
      <w:r w:rsidR="00EF1CA2">
        <w:t xml:space="preserve">Reliability </w:t>
      </w:r>
      <w:r w:rsidR="004D4BB4">
        <w:t>Standard</w:t>
      </w:r>
      <w:r w:rsidR="00CC2AB4">
        <w:t xml:space="preserve"> (RRS)</w:t>
      </w:r>
    </w:p>
    <w:p w14:paraId="12E8CE58" w14:textId="18902E07" w:rsidR="000571CD" w:rsidRPr="000571CD" w:rsidRDefault="000571CD" w:rsidP="00CC2AB4">
      <w:pPr>
        <w:pStyle w:val="Heading3"/>
        <w:spacing w:before="0" w:after="120"/>
      </w:pPr>
      <w:r>
        <w:t>Issue</w:t>
      </w:r>
      <w:r w:rsidR="00E818CC">
        <w:t>(s)</w:t>
      </w:r>
    </w:p>
    <w:p w14:paraId="0840C0A4" w14:textId="77777777" w:rsidR="00B800F9" w:rsidRPr="00D5170E" w:rsidRDefault="00B800F9" w:rsidP="00CC2AB4">
      <w:pPr>
        <w:rPr>
          <w:i/>
        </w:rPr>
      </w:pPr>
      <w:r w:rsidRPr="00D5170E">
        <w:rPr>
          <w:i/>
        </w:rPr>
        <w:t>Specify what industry problem this request is trying to resolve.</w:t>
      </w:r>
      <w:r w:rsidR="00FB1A8D" w:rsidRPr="00D5170E">
        <w:rPr>
          <w:i/>
        </w:rPr>
        <w:t xml:space="preserve">   </w:t>
      </w:r>
    </w:p>
    <w:p w14:paraId="15BE9BDB" w14:textId="1AB94D97" w:rsidR="001F2938" w:rsidRPr="00355215" w:rsidRDefault="001F2938" w:rsidP="00CC2AB4">
      <w:pPr>
        <w:rPr>
          <w:b/>
        </w:rPr>
      </w:pPr>
      <w:r w:rsidRPr="00355215">
        <w:rPr>
          <w:b/>
        </w:rPr>
        <w:t>Lack of Historic Data</w:t>
      </w:r>
      <w:r>
        <w:rPr>
          <w:b/>
        </w:rPr>
        <w:t xml:space="preserve"> to Establish Compliance</w:t>
      </w:r>
    </w:p>
    <w:p w14:paraId="4C6DEAF6" w14:textId="77777777" w:rsidR="001F2938" w:rsidRPr="00BB767E" w:rsidRDefault="001F2938" w:rsidP="00CC2AB4">
      <w:r w:rsidRPr="00BB767E">
        <w:t>BAL-004-WECC-3</w:t>
      </w:r>
      <w:r>
        <w:t xml:space="preserve">, </w:t>
      </w:r>
      <w:r w:rsidRPr="00BB767E">
        <w:t xml:space="preserve">Requirement </w:t>
      </w:r>
      <w:r>
        <w:t>R</w:t>
      </w:r>
      <w:r w:rsidRPr="00BB767E">
        <w:t>1 establishes limits on Accumulated Primary Inadvertent Interchange (PII</w:t>
      </w:r>
      <w:r w:rsidRPr="00BB767E">
        <w:rPr>
          <w:vertAlign w:val="subscript"/>
        </w:rPr>
        <w:t>ACCUM</w:t>
      </w:r>
      <w:r w:rsidRPr="00BB767E">
        <w:t>).</w:t>
      </w:r>
      <w:r>
        <w:t xml:space="preserve">  </w:t>
      </w:r>
      <w:r w:rsidRPr="00BB767E">
        <w:t>However, these limits are based on a value determined from the “previous calendar year.”</w:t>
      </w:r>
      <w:r>
        <w:t xml:space="preserve">  </w:t>
      </w:r>
      <w:r w:rsidRPr="00BB767E">
        <w:t>While the creation of a new Balancing Authority (BA) or the shutdown of an existing Balancing Authority is rare, it has occurred and could occur again</w:t>
      </w:r>
      <w:r>
        <w:t>.</w:t>
      </w:r>
      <w:r w:rsidRPr="00BB767E">
        <w:t xml:space="preserve"> </w:t>
      </w:r>
    </w:p>
    <w:p w14:paraId="2FDBC75E" w14:textId="77777777" w:rsidR="001F2938" w:rsidRPr="00BB767E" w:rsidRDefault="001F2938" w:rsidP="00CC2AB4">
      <w:r w:rsidRPr="00BB767E">
        <w:t xml:space="preserve">If that occurs and a BA does not have data from a previous calendar year, the subparts of the Requirements as written would establish a compliance limit of zero (0) MWh. </w:t>
      </w:r>
    </w:p>
    <w:p w14:paraId="1D7C3F7C" w14:textId="1F26C867" w:rsidR="001F2938" w:rsidRDefault="001F2938" w:rsidP="00CC2AB4">
      <w:r w:rsidRPr="00BB767E">
        <w:t>Maintaining a monthly PII</w:t>
      </w:r>
      <w:r w:rsidRPr="00BB767E">
        <w:rPr>
          <w:vertAlign w:val="subscript"/>
        </w:rPr>
        <w:t>ACCUM</w:t>
      </w:r>
      <w:r w:rsidRPr="00BB767E">
        <w:t xml:space="preserve"> Balance of zero as calculated by the Western Interchange Tool </w:t>
      </w:r>
      <w:r>
        <w:t xml:space="preserve">(WIT) </w:t>
      </w:r>
      <w:r w:rsidRPr="00BB767E">
        <w:t xml:space="preserve">is not operationally feasible. This can result in non-compliance with the </w:t>
      </w:r>
      <w:r w:rsidR="00EF1CA2">
        <w:t>S</w:t>
      </w:r>
      <w:r w:rsidRPr="00BB767E">
        <w:t>tandard which cannot be mitigated until the end of the calendar year by allowing the limit for PII</w:t>
      </w:r>
      <w:r w:rsidRPr="00BB767E">
        <w:rPr>
          <w:vertAlign w:val="subscript"/>
        </w:rPr>
        <w:t>ACCUM</w:t>
      </w:r>
      <w:r w:rsidRPr="00BB767E">
        <w:t xml:space="preserve"> to increase as specified in </w:t>
      </w:r>
      <w:r>
        <w:t xml:space="preserve">Requirement R1, </w:t>
      </w:r>
      <w:r w:rsidRPr="00BB767E">
        <w:t xml:space="preserve">1.1 or 1.2 of the </w:t>
      </w:r>
      <w:r>
        <w:t>S</w:t>
      </w:r>
      <w:r w:rsidRPr="00BB767E">
        <w:t>tandard.</w:t>
      </w:r>
    </w:p>
    <w:p w14:paraId="5A0A7083" w14:textId="77777777" w:rsidR="00017D26" w:rsidRDefault="00017D26" w:rsidP="00CC2AB4">
      <w:pPr>
        <w:rPr>
          <w:b/>
        </w:rPr>
      </w:pPr>
    </w:p>
    <w:p w14:paraId="6ACD62A7" w14:textId="72AC60CC" w:rsidR="00355215" w:rsidRPr="00355215" w:rsidRDefault="00355215" w:rsidP="00CC2AB4">
      <w:pPr>
        <w:rPr>
          <w:b/>
        </w:rPr>
      </w:pPr>
      <w:r w:rsidRPr="00355215">
        <w:rPr>
          <w:b/>
        </w:rPr>
        <w:t>Five-year Review</w:t>
      </w:r>
    </w:p>
    <w:p w14:paraId="644E9122" w14:textId="2BC8F76F" w:rsidR="00355215" w:rsidRDefault="00355215" w:rsidP="00CC2AB4">
      <w:r>
        <w:t xml:space="preserve">This request meets the five-year review mandate of the Procedures. </w:t>
      </w:r>
    </w:p>
    <w:p w14:paraId="3522B7EB" w14:textId="2E0E1E7A" w:rsidR="00355215" w:rsidRPr="00355215" w:rsidRDefault="00355215" w:rsidP="00CC2AB4">
      <w:pPr>
        <w:rPr>
          <w:b/>
        </w:rPr>
      </w:pPr>
      <w:r>
        <w:rPr>
          <w:b/>
        </w:rPr>
        <w:t>Retirement</w:t>
      </w:r>
      <w:r w:rsidR="000074C8">
        <w:rPr>
          <w:b/>
        </w:rPr>
        <w:t xml:space="preserve"> and Structure</w:t>
      </w:r>
    </w:p>
    <w:p w14:paraId="0762DAC1" w14:textId="4186502E" w:rsidR="000074C8" w:rsidRPr="000074C8" w:rsidRDefault="000074C8" w:rsidP="00CC2AB4">
      <w:r w:rsidRPr="000074C8">
        <w:t>The assigned drafting team should consider whether BAL-004-WECC-3 should be retired in whole or in part</w:t>
      </w:r>
      <w:r>
        <w:t xml:space="preserve"> and whether any portions of the Standard should be relocated/appended to an existing NERC Standard as a WECC Regional Variance</w:t>
      </w:r>
      <w:r w:rsidR="005467C5">
        <w:t>.</w:t>
      </w:r>
      <w:r w:rsidR="0049073C">
        <w:rPr>
          <w:rStyle w:val="FootnoteReference"/>
        </w:rPr>
        <w:footnoteReference w:id="2"/>
      </w:r>
      <w:r w:rsidR="005467C5">
        <w:t xml:space="preserve"> Further, because much of the</w:t>
      </w:r>
      <w:r w:rsidR="00EF1CA2">
        <w:t xml:space="preserve"> WECC Regional </w:t>
      </w:r>
      <w:r w:rsidR="00017D26">
        <w:t>R</w:t>
      </w:r>
      <w:r w:rsidR="00EF1CA2">
        <w:t xml:space="preserve">eliability Standard’s (RRS) </w:t>
      </w:r>
      <w:r w:rsidR="005467C5">
        <w:t xml:space="preserve">content stems from pre-2007 business practices, the Standard should be reviewed to determine which portions (if any) are business related as opposed to reliability related.  With that determination made, any </w:t>
      </w:r>
      <w:r w:rsidR="001023DF">
        <w:t>business-related</w:t>
      </w:r>
      <w:r w:rsidR="005467C5">
        <w:t xml:space="preserve"> content should be retired from the Standard and provided to the North American Energy Standards Board (NAESB) for disposition, subject to NERC/FERC disposition.</w:t>
      </w:r>
      <w:r w:rsidRPr="000074C8">
        <w:t xml:space="preserve">  </w:t>
      </w:r>
    </w:p>
    <w:p w14:paraId="15AD510C" w14:textId="63AE2DC1" w:rsidR="000074C8" w:rsidRPr="000074C8" w:rsidRDefault="000074C8" w:rsidP="00CC2AB4">
      <w:r w:rsidRPr="000074C8">
        <w:t xml:space="preserve">Of the Standard’s eight Requirements, the stated “goal” of: 1) R1, R2, R4, </w:t>
      </w:r>
      <w:r w:rsidR="00EF1CA2">
        <w:t xml:space="preserve">and </w:t>
      </w:r>
      <w:r w:rsidRPr="000074C8">
        <w:t>R6 is timely accounting, and 2) R2</w:t>
      </w:r>
      <w:r w:rsidR="00EF1CA2">
        <w:t xml:space="preserve"> and </w:t>
      </w:r>
      <w:r w:rsidRPr="000074C8">
        <w:t>R6 is equity.</w:t>
      </w:r>
      <w:r w:rsidR="00EF1CA2">
        <w:t xml:space="preserve"> </w:t>
      </w:r>
      <w:r w:rsidR="00EF1CA2" w:rsidRPr="000074C8">
        <w:t xml:space="preserve">(See </w:t>
      </w:r>
      <w:r w:rsidR="00EF1CA2">
        <w:t xml:space="preserve">Version 3, Guidelines and Technical Basis </w:t>
      </w:r>
      <w:r w:rsidR="00EF1CA2" w:rsidRPr="000074C8">
        <w:t>of the Standard)</w:t>
      </w:r>
      <w:r w:rsidRPr="000074C8">
        <w:t xml:space="preserve">  </w:t>
      </w:r>
    </w:p>
    <w:p w14:paraId="350AEB56" w14:textId="678C4A9C" w:rsidR="000074C8" w:rsidRPr="000074C8" w:rsidRDefault="000074C8" w:rsidP="00CC2AB4">
      <w:r w:rsidRPr="000074C8">
        <w:t>In making a recommendation to keep or retire all or part of BAL-004-WECC-3, the assigned drafting team should weigh whether the primary impact of each Requirement adds reliability to the Interconnection or whether the Requirement’s primary impact is commercial and/or accounting in nature.  Where a Requirement is found to primarily target</w:t>
      </w:r>
      <w:r w:rsidR="00EF1CA2">
        <w:t xml:space="preserve"> </w:t>
      </w:r>
      <w:r w:rsidRPr="000074C8">
        <w:t xml:space="preserve">accounting, equity, or commercial activity, its retirement should be considered. </w:t>
      </w:r>
    </w:p>
    <w:p w14:paraId="7EF321FF" w14:textId="21FDB47A" w:rsidR="000074C8" w:rsidRPr="000074C8" w:rsidRDefault="000074C8" w:rsidP="00CC2AB4">
      <w:r w:rsidRPr="000074C8">
        <w:t xml:space="preserve">In making its recommendation, the drafting team should also consider whether the Standard’s Requirements are properly located as a free-standing WECC Regional </w:t>
      </w:r>
      <w:r w:rsidR="00EF1CA2">
        <w:t xml:space="preserve">Relibaility </w:t>
      </w:r>
      <w:r w:rsidRPr="000074C8">
        <w:t>Standard or whether its Requirements should be appended to an existing NERC Standard as a Regional Variance.</w:t>
      </w:r>
      <w:r>
        <w:t xml:space="preserve">  For example, if the review concludes that Requirements R1, R2, R4, and R6 should be retired, the remaining operational Requirements may</w:t>
      </w:r>
      <w:r w:rsidR="00442CCC">
        <w:t xml:space="preserve"> better serve as a WECC Regional Variance.</w:t>
      </w:r>
      <w:r>
        <w:t xml:space="preserve"> </w:t>
      </w:r>
      <w:r w:rsidRPr="000074C8">
        <w:t xml:space="preserve"> </w:t>
      </w:r>
    </w:p>
    <w:p w14:paraId="0A0506E4" w14:textId="7B979606" w:rsidR="000571CD" w:rsidRDefault="000571CD" w:rsidP="00CC2AB4">
      <w:pPr>
        <w:pStyle w:val="Heading3"/>
        <w:spacing w:before="0" w:after="120"/>
      </w:pPr>
      <w:r>
        <w:t>Proposed Remedy</w:t>
      </w:r>
      <w:r w:rsidR="005467C5">
        <w:t>(ies)</w:t>
      </w:r>
    </w:p>
    <w:p w14:paraId="7DE5FE4A" w14:textId="77777777" w:rsidR="00B800F9" w:rsidRPr="00D5170E" w:rsidRDefault="00B800F9" w:rsidP="00CC2AB4">
      <w:pPr>
        <w:rPr>
          <w:i/>
        </w:rPr>
      </w:pPr>
      <w:r w:rsidRPr="00D5170E">
        <w:rPr>
          <w:i/>
        </w:rPr>
        <w:t xml:space="preserve">Specify how this request </w:t>
      </w:r>
      <w:r w:rsidR="006B1134" w:rsidRPr="00D5170E">
        <w:rPr>
          <w:i/>
        </w:rPr>
        <w:t>will address</w:t>
      </w:r>
      <w:r w:rsidRPr="00D5170E">
        <w:rPr>
          <w:i/>
        </w:rPr>
        <w:t xml:space="preserve"> the issue</w:t>
      </w:r>
      <w:r w:rsidR="00FB1A8D" w:rsidRPr="00D5170E">
        <w:rPr>
          <w:i/>
        </w:rPr>
        <w:t xml:space="preserve"> you stated above</w:t>
      </w:r>
      <w:r w:rsidRPr="00D5170E">
        <w:rPr>
          <w:i/>
        </w:rPr>
        <w:t>.</w:t>
      </w:r>
    </w:p>
    <w:p w14:paraId="645FB3C5" w14:textId="5A694565" w:rsidR="00D5170E" w:rsidRPr="00355215" w:rsidRDefault="00D5170E" w:rsidP="00CC2AB4">
      <w:pPr>
        <w:rPr>
          <w:b/>
        </w:rPr>
      </w:pPr>
      <w:r w:rsidRPr="00355215">
        <w:rPr>
          <w:b/>
        </w:rPr>
        <w:t>Lack of Historic Data</w:t>
      </w:r>
      <w:r w:rsidR="005467C5">
        <w:rPr>
          <w:b/>
        </w:rPr>
        <w:t xml:space="preserve"> and Specific Language Concerns</w:t>
      </w:r>
    </w:p>
    <w:p w14:paraId="510F0CD0" w14:textId="52D1FA49" w:rsidR="00D5170E" w:rsidRPr="00BB767E" w:rsidRDefault="00D5170E" w:rsidP="00CC2AB4">
      <w:r w:rsidRPr="00BB767E">
        <w:t>The proposed remedial language is intended to address and establish a valid and reasonable PII</w:t>
      </w:r>
      <w:r w:rsidRPr="00BB767E">
        <w:rPr>
          <w:vertAlign w:val="subscript"/>
        </w:rPr>
        <w:t>ACCUM</w:t>
      </w:r>
      <w:r w:rsidRPr="00BB767E">
        <w:t xml:space="preserve"> limit where no data is available from the previous calendar year. The proposed remedial language addresses the start-up of a new BA, a BA footprint change, as well as the operational restart of a generation-only BA after being shut down for </w:t>
      </w:r>
      <w:r w:rsidR="00EF1CA2">
        <w:t xml:space="preserve">a period </w:t>
      </w:r>
      <w:r w:rsidRPr="00BB767E">
        <w:t>greater than one calendar year.</w:t>
      </w:r>
    </w:p>
    <w:p w14:paraId="496B5E67" w14:textId="77777777" w:rsidR="00D5170E" w:rsidRPr="00D5170E" w:rsidRDefault="00D5170E" w:rsidP="00CC2AB4">
      <w:pPr>
        <w:rPr>
          <w:b/>
        </w:rPr>
      </w:pPr>
      <w:r w:rsidRPr="00D5170E">
        <w:rPr>
          <w:b/>
        </w:rPr>
        <w:t>Existing Language</w:t>
      </w:r>
    </w:p>
    <w:p w14:paraId="3C54511A" w14:textId="56CCF8B4" w:rsidR="00D5170E" w:rsidRPr="00BB767E" w:rsidRDefault="00D5170E" w:rsidP="00CC2AB4">
      <w:pPr>
        <w:autoSpaceDE w:val="0"/>
        <w:autoSpaceDN w:val="0"/>
        <w:adjustRightInd w:val="0"/>
        <w:rPr>
          <w:rFonts w:cs="Calibri-Italic"/>
          <w:i/>
          <w:iCs/>
        </w:rPr>
      </w:pPr>
      <w:r w:rsidRPr="00BB767E">
        <w:rPr>
          <w:rFonts w:cs="Calibri-Bold"/>
          <w:b/>
          <w:bCs/>
        </w:rPr>
        <w:t xml:space="preserve">R1. </w:t>
      </w:r>
      <w:r w:rsidRPr="00BB767E">
        <w:rPr>
          <w:rFonts w:cs="Calibri"/>
        </w:rPr>
        <w:t>Each Balancing Authority shall operate its system such that, following the conclusion of</w:t>
      </w:r>
      <w:r w:rsidR="005D02A1">
        <w:rPr>
          <w:rFonts w:cs="Calibri"/>
        </w:rPr>
        <w:t xml:space="preserve"> </w:t>
      </w:r>
      <w:r w:rsidRPr="00BB767E">
        <w:rPr>
          <w:rFonts w:cs="Calibri"/>
        </w:rPr>
        <w:t>each month, the month-end absolute value of its On-Peak and Off-Peak, Accumulated</w:t>
      </w:r>
      <w:r w:rsidR="006C214C">
        <w:rPr>
          <w:rFonts w:cs="Calibri"/>
        </w:rPr>
        <w:t xml:space="preserve"> </w:t>
      </w:r>
      <w:r w:rsidRPr="00BB767E">
        <w:rPr>
          <w:rFonts w:cs="Calibri"/>
        </w:rPr>
        <w:t>Primary Inadvertent Interchange (PIIaccum), as calculated by the WECC Interchange Tool</w:t>
      </w:r>
      <w:r w:rsidR="006C214C">
        <w:rPr>
          <w:rFonts w:cs="Calibri"/>
        </w:rPr>
        <w:t xml:space="preserve"> </w:t>
      </w:r>
      <w:r w:rsidRPr="00BB767E">
        <w:rPr>
          <w:rFonts w:cs="Calibri"/>
        </w:rPr>
        <w:t>(WIT) or its successor electronic confirmation tool, are each individually less than or</w:t>
      </w:r>
      <w:r w:rsidR="006C214C">
        <w:rPr>
          <w:rFonts w:cs="Calibri"/>
        </w:rPr>
        <w:t xml:space="preserve"> </w:t>
      </w:r>
      <w:r w:rsidRPr="00BB767E">
        <w:rPr>
          <w:rFonts w:cs="Calibri"/>
        </w:rPr>
        <w:t xml:space="preserve">equal to: </w:t>
      </w:r>
    </w:p>
    <w:p w14:paraId="5AB71907" w14:textId="39F48354" w:rsidR="00D5170E" w:rsidRPr="00BB767E" w:rsidRDefault="00D5170E" w:rsidP="00CC2AB4">
      <w:pPr>
        <w:autoSpaceDE w:val="0"/>
        <w:autoSpaceDN w:val="0"/>
        <w:adjustRightInd w:val="0"/>
        <w:ind w:left="720"/>
        <w:rPr>
          <w:rFonts w:cs="Calibri-Bold"/>
          <w:b/>
          <w:bCs/>
        </w:rPr>
      </w:pPr>
      <w:r w:rsidRPr="00BB767E">
        <w:rPr>
          <w:rFonts w:cs="Calibri-Bold"/>
          <w:b/>
          <w:bCs/>
        </w:rPr>
        <w:t xml:space="preserve">1.1 </w:t>
      </w:r>
      <w:r w:rsidRPr="00BB767E">
        <w:rPr>
          <w:rFonts w:cs="Calibri"/>
        </w:rPr>
        <w:t>For load-serving Balancing Authorities, 150% of the previous calendar year’s</w:t>
      </w:r>
      <w:r w:rsidR="006C214C">
        <w:rPr>
          <w:rFonts w:cs="Calibri"/>
        </w:rPr>
        <w:t xml:space="preserve"> </w:t>
      </w:r>
      <w:r w:rsidRPr="00BB767E">
        <w:rPr>
          <w:rFonts w:cs="Calibri"/>
        </w:rPr>
        <w:t>integrated hourly Peak Demand,</w:t>
      </w:r>
      <w:r w:rsidR="006C214C">
        <w:rPr>
          <w:rFonts w:cs="Calibri"/>
        </w:rPr>
        <w:t xml:space="preserve"> </w:t>
      </w:r>
    </w:p>
    <w:p w14:paraId="49DE1489" w14:textId="2FAC000C" w:rsidR="00D5170E" w:rsidRDefault="00D5170E" w:rsidP="00CC2AB4">
      <w:pPr>
        <w:autoSpaceDE w:val="0"/>
        <w:autoSpaceDN w:val="0"/>
        <w:adjustRightInd w:val="0"/>
        <w:ind w:left="720"/>
        <w:rPr>
          <w:rFonts w:cs="Calibri"/>
        </w:rPr>
      </w:pPr>
      <w:r w:rsidRPr="00BB767E">
        <w:rPr>
          <w:rFonts w:cs="Calibri-Bold"/>
          <w:b/>
          <w:bCs/>
        </w:rPr>
        <w:t xml:space="preserve">1.2 </w:t>
      </w:r>
      <w:r w:rsidRPr="00BB767E">
        <w:rPr>
          <w:rFonts w:cs="Calibri"/>
        </w:rPr>
        <w:t>For generation-only Balancing Authorities, 150% of the previous calendar year’s</w:t>
      </w:r>
      <w:r w:rsidR="006C214C">
        <w:rPr>
          <w:rFonts w:cs="Calibri"/>
        </w:rPr>
        <w:t xml:space="preserve"> </w:t>
      </w:r>
      <w:r w:rsidRPr="00BB767E">
        <w:rPr>
          <w:rFonts w:cs="Calibri"/>
        </w:rPr>
        <w:t>integrated hourly peak generation.</w:t>
      </w:r>
    </w:p>
    <w:p w14:paraId="748AA4EC" w14:textId="70AB9636" w:rsidR="006C214C" w:rsidRPr="001023DF" w:rsidRDefault="005467C5" w:rsidP="00CC2AB4">
      <w:pPr>
        <w:autoSpaceDE w:val="0"/>
        <w:autoSpaceDN w:val="0"/>
        <w:adjustRightInd w:val="0"/>
        <w:rPr>
          <w:b/>
          <w:iCs/>
        </w:rPr>
      </w:pPr>
      <w:r w:rsidRPr="001023DF">
        <w:rPr>
          <w:b/>
          <w:iCs/>
        </w:rPr>
        <w:t>Proposed Remedial Language (R1)</w:t>
      </w:r>
    </w:p>
    <w:p w14:paraId="33DC9FF4" w14:textId="77777777" w:rsidR="006C214C" w:rsidRDefault="00D5170E" w:rsidP="00CC2AB4">
      <w:pPr>
        <w:autoSpaceDE w:val="0"/>
        <w:autoSpaceDN w:val="0"/>
        <w:adjustRightInd w:val="0"/>
        <w:ind w:left="720"/>
        <w:rPr>
          <w:rFonts w:cs="Calibri"/>
          <w:bCs/>
          <w:iCs/>
        </w:rPr>
      </w:pPr>
      <w:r w:rsidRPr="00BB767E">
        <w:rPr>
          <w:rFonts w:cs="Calibri"/>
          <w:b/>
          <w:bCs/>
          <w:iCs/>
        </w:rPr>
        <w:t>1.1</w:t>
      </w:r>
      <w:r w:rsidRPr="00BB767E">
        <w:rPr>
          <w:rFonts w:cs="Calibri"/>
          <w:bCs/>
          <w:iCs/>
        </w:rPr>
        <w:t xml:space="preserve"> For load-serving Balancing Authorities, the greater of 150% of the previous calendar year’s integrated hourly Peak Demand or 100% of the integrated hourly Peak Demand during the current calendar year.</w:t>
      </w:r>
    </w:p>
    <w:p w14:paraId="289F4CBA" w14:textId="2EEF2B1B" w:rsidR="00D5170E" w:rsidRPr="00BB767E" w:rsidRDefault="00D5170E" w:rsidP="00CC2AB4">
      <w:pPr>
        <w:autoSpaceDE w:val="0"/>
        <w:autoSpaceDN w:val="0"/>
        <w:adjustRightInd w:val="0"/>
        <w:ind w:left="720"/>
        <w:rPr>
          <w:rFonts w:cs="Calibri"/>
          <w:bCs/>
          <w:iCs/>
        </w:rPr>
      </w:pPr>
      <w:r w:rsidRPr="00BB767E">
        <w:rPr>
          <w:rFonts w:cs="Calibri"/>
          <w:b/>
          <w:bCs/>
          <w:iCs/>
        </w:rPr>
        <w:t>1.2</w:t>
      </w:r>
      <w:r w:rsidRPr="00BB767E">
        <w:rPr>
          <w:rFonts w:cs="Calibri"/>
          <w:bCs/>
          <w:iCs/>
        </w:rPr>
        <w:t xml:space="preserve"> For generation-only Balancing Authorities, </w:t>
      </w:r>
      <w:r w:rsidR="00EF1CA2">
        <w:rPr>
          <w:rFonts w:cs="Calibri"/>
          <w:bCs/>
          <w:iCs/>
        </w:rPr>
        <w:t xml:space="preserve">the </w:t>
      </w:r>
      <w:r w:rsidRPr="00BB767E">
        <w:rPr>
          <w:rFonts w:cs="Calibri"/>
          <w:bCs/>
          <w:iCs/>
        </w:rPr>
        <w:t xml:space="preserve">greater of 150% of the previous calendar year’s integrated hourly peak generation or the total nameplate capability of the </w:t>
      </w:r>
      <w:r w:rsidR="00EF1CA2">
        <w:rPr>
          <w:rFonts w:cs="Calibri"/>
          <w:bCs/>
          <w:iCs/>
        </w:rPr>
        <w:t>g</w:t>
      </w:r>
      <w:r w:rsidRPr="00BB767E">
        <w:rPr>
          <w:rFonts w:cs="Calibri"/>
          <w:bCs/>
          <w:iCs/>
        </w:rPr>
        <w:t>eneration within the Balancing Authority.</w:t>
      </w:r>
    </w:p>
    <w:p w14:paraId="2D4C72A3" w14:textId="77777777" w:rsidR="000571CD" w:rsidRDefault="000571CD" w:rsidP="00CC2AB4">
      <w:pPr>
        <w:pStyle w:val="Heading3"/>
        <w:spacing w:before="0" w:after="120"/>
      </w:pPr>
      <w:r>
        <w:t>Applicable Entities</w:t>
      </w:r>
    </w:p>
    <w:p w14:paraId="68D6B326" w14:textId="77777777" w:rsidR="00EE2BAC" w:rsidRPr="00D5170E" w:rsidRDefault="00B800F9" w:rsidP="00CC2AB4">
      <w:pPr>
        <w:rPr>
          <w:i/>
        </w:rPr>
      </w:pPr>
      <w:r w:rsidRPr="00D5170E">
        <w:rPr>
          <w:i/>
        </w:rPr>
        <w:t>Each function will be reviewed if affected.</w:t>
      </w:r>
      <w:r w:rsidR="00FB1A8D" w:rsidRPr="00D5170E">
        <w:rPr>
          <w:i/>
        </w:rPr>
        <w:t xml:space="preserve">  A dropdown will be provided.  Check </w:t>
      </w:r>
      <w:r w:rsidR="00EE2BAC" w:rsidRPr="00D5170E">
        <w:rPr>
          <w:i/>
        </w:rPr>
        <w:t xml:space="preserve">all applicable </w:t>
      </w:r>
      <w:r w:rsidR="00FB1A8D" w:rsidRPr="00D5170E">
        <w:rPr>
          <w:i/>
        </w:rPr>
        <w:t>blocks</w:t>
      </w:r>
      <w:r w:rsidR="00EE2BAC" w:rsidRPr="00D5170E">
        <w:rPr>
          <w:i/>
        </w:rPr>
        <w:t>.</w:t>
      </w:r>
    </w:p>
    <w:p w14:paraId="1CA74102" w14:textId="4D2CE80A" w:rsidR="00D5170E" w:rsidRDefault="00D5170E" w:rsidP="00CC2AB4">
      <w:pPr>
        <w:pStyle w:val="Heading3"/>
        <w:spacing w:before="0" w:after="120"/>
        <w:rPr>
          <w:rFonts w:ascii="Palatino Linotype" w:hAnsi="Palatino Linotype"/>
          <w:b w:val="0"/>
        </w:rPr>
      </w:pPr>
      <w:r>
        <w:rPr>
          <w:rFonts w:ascii="Palatino Linotype" w:hAnsi="Palatino Linotype"/>
        </w:rPr>
        <w:t>“</w:t>
      </w:r>
      <w:r w:rsidRPr="00D5170E">
        <w:rPr>
          <w:rFonts w:ascii="Palatino Linotype" w:hAnsi="Palatino Linotype"/>
        </w:rPr>
        <w:t xml:space="preserve">4. Applicability </w:t>
      </w:r>
    </w:p>
    <w:p w14:paraId="57531798" w14:textId="77777777" w:rsidR="00D5170E" w:rsidRDefault="00D5170E" w:rsidP="00CC2AB4">
      <w:pPr>
        <w:pStyle w:val="Heading3"/>
        <w:spacing w:before="0" w:after="120"/>
        <w:ind w:firstLine="720"/>
        <w:rPr>
          <w:rFonts w:ascii="Palatino Linotype" w:hAnsi="Palatino Linotype"/>
          <w:b w:val="0"/>
        </w:rPr>
      </w:pPr>
      <w:r w:rsidRPr="00D5170E">
        <w:rPr>
          <w:rFonts w:ascii="Palatino Linotype" w:hAnsi="Palatino Linotype"/>
          <w:b w:val="0"/>
        </w:rPr>
        <w:t>4.1. Functional Entities</w:t>
      </w:r>
    </w:p>
    <w:p w14:paraId="3845E411" w14:textId="65EB744A" w:rsidR="00D5170E" w:rsidRDefault="00D5170E" w:rsidP="00CC2AB4">
      <w:pPr>
        <w:pStyle w:val="Heading3"/>
        <w:spacing w:before="0" w:after="120"/>
        <w:ind w:firstLine="720"/>
        <w:rPr>
          <w:rFonts w:ascii="Palatino Linotype" w:hAnsi="Palatino Linotype"/>
          <w:b w:val="0"/>
        </w:rPr>
      </w:pPr>
      <w:r w:rsidRPr="00D5170E">
        <w:rPr>
          <w:rFonts w:ascii="Palatino Linotype" w:hAnsi="Palatino Linotype"/>
          <w:b w:val="0"/>
        </w:rPr>
        <w:t>4.1.1 Balancing Authorities that operate synchronously in the Western Interconnection.</w:t>
      </w:r>
      <w:r>
        <w:rPr>
          <w:rFonts w:ascii="Palatino Linotype" w:hAnsi="Palatino Linotype"/>
          <w:b w:val="0"/>
        </w:rPr>
        <w:t>”</w:t>
      </w:r>
    </w:p>
    <w:p w14:paraId="4B2F0B76" w14:textId="5A563541" w:rsidR="00B800F9" w:rsidRDefault="006B1134" w:rsidP="00CC2AB4">
      <w:pPr>
        <w:pStyle w:val="Heading3"/>
        <w:spacing w:before="0" w:after="120"/>
      </w:pPr>
      <w:r>
        <w:t>Detailed Description</w:t>
      </w:r>
    </w:p>
    <w:p w14:paraId="66D77858" w14:textId="77777777" w:rsidR="00EE2BAC" w:rsidRPr="00D5170E" w:rsidRDefault="00FB1A8D" w:rsidP="00CC2AB4">
      <w:pPr>
        <w:rPr>
          <w:i/>
        </w:rPr>
      </w:pPr>
      <w:r w:rsidRPr="00D5170E">
        <w:rPr>
          <w:i/>
        </w:rPr>
        <w:t xml:space="preserve">Use this block to </w:t>
      </w:r>
      <w:r w:rsidR="00DC3A94" w:rsidRPr="00D5170E">
        <w:rPr>
          <w:i/>
        </w:rPr>
        <w:t xml:space="preserve">elaborate on </w:t>
      </w:r>
      <w:r w:rsidRPr="00D5170E">
        <w:rPr>
          <w:i/>
        </w:rPr>
        <w:t>anything that might have been missed above</w:t>
      </w:r>
      <w:r w:rsidR="00EE2BAC" w:rsidRPr="00D5170E">
        <w:rPr>
          <w:i/>
        </w:rPr>
        <w:t xml:space="preserve"> or to provide greater granularity.</w:t>
      </w:r>
    </w:p>
    <w:p w14:paraId="022B3528" w14:textId="77777777" w:rsidR="000F1F4E" w:rsidRDefault="006E3E59" w:rsidP="00CC2AB4">
      <w:r>
        <w:t xml:space="preserve">This request will review and update the entire document, as needed.   </w:t>
      </w:r>
    </w:p>
    <w:p w14:paraId="7330B6EF" w14:textId="650A1237" w:rsidR="006E3E59" w:rsidRDefault="000F1F4E" w:rsidP="00CC2AB4">
      <w:r>
        <w:rPr>
          <w:color w:val="000000"/>
          <w:shd w:val="clear" w:color="auto" w:fill="FFFFFF"/>
        </w:rPr>
        <w:t xml:space="preserve">This SAR takes no </w:t>
      </w:r>
      <w:r w:rsidR="003F7161">
        <w:rPr>
          <w:color w:val="000000"/>
          <w:shd w:val="clear" w:color="auto" w:fill="FFFFFF"/>
        </w:rPr>
        <w:t xml:space="preserve">position </w:t>
      </w:r>
      <w:r>
        <w:rPr>
          <w:color w:val="000000"/>
          <w:shd w:val="clear" w:color="auto" w:fill="FFFFFF"/>
        </w:rPr>
        <w:t>on the retirement, structure, forum, or placement of the document.  It only calls for the drafting team to review those issues as part of the five-year review.  </w:t>
      </w:r>
      <w:r w:rsidR="006E3E59">
        <w:t xml:space="preserve">  </w:t>
      </w:r>
    </w:p>
    <w:p w14:paraId="2EE6EF67" w14:textId="77777777" w:rsidR="00CC4A16" w:rsidRPr="006B1134" w:rsidRDefault="00B800F9" w:rsidP="00CC2AB4">
      <w:pPr>
        <w:pStyle w:val="Heading3"/>
        <w:spacing w:before="0" w:after="120"/>
      </w:pPr>
      <w:r w:rsidRPr="006B1134">
        <w:t>Affected</w:t>
      </w:r>
      <w:r w:rsidR="00CC4A16" w:rsidRPr="006B1134">
        <w:t xml:space="preserve"> Reliability Principles</w:t>
      </w:r>
    </w:p>
    <w:p w14:paraId="6C7B1091" w14:textId="77777777" w:rsidR="00B800F9" w:rsidRPr="00D5170E" w:rsidRDefault="00B800F9" w:rsidP="00CC2AB4">
      <w:pPr>
        <w:rPr>
          <w:i/>
        </w:rPr>
      </w:pPr>
      <w:r w:rsidRPr="00D5170E">
        <w:rPr>
          <w:i/>
        </w:rPr>
        <w:t>Which of the following reliability principles is MOST affected by this request? (</w:t>
      </w:r>
      <w:r w:rsidR="00703D0B" w:rsidRPr="00D5170E">
        <w:rPr>
          <w:i/>
        </w:rPr>
        <w:t>S</w:t>
      </w:r>
      <w:r w:rsidRPr="00D5170E">
        <w:rPr>
          <w:i/>
        </w:rPr>
        <w:t>elect one</w:t>
      </w:r>
      <w:r w:rsidR="00703D0B" w:rsidRPr="00D5170E">
        <w:rPr>
          <w:i/>
        </w:rPr>
        <w:t>.</w:t>
      </w:r>
      <w:r w:rsidRPr="00D5170E">
        <w:rPr>
          <w:i/>
        </w:rPr>
        <w:t>)</w:t>
      </w:r>
    </w:p>
    <w:p w14:paraId="483775D3" w14:textId="77777777" w:rsidR="00EE2BAC" w:rsidRPr="00D5170E" w:rsidRDefault="00FB1A8D" w:rsidP="00CC2AB4">
      <w:pPr>
        <w:rPr>
          <w:i/>
        </w:rPr>
      </w:pPr>
      <w:r w:rsidRPr="00D5170E">
        <w:rPr>
          <w:i/>
        </w:rPr>
        <w:t>Check the appropriate block that is provided on the online form.  You need to select one of the NERC Reliability Principles that apply.</w:t>
      </w:r>
    </w:p>
    <w:p w14:paraId="12AFEFE7" w14:textId="77777777" w:rsidR="00FB1A8D" w:rsidRPr="00CC4A16" w:rsidRDefault="00EE2BAC" w:rsidP="00CC2AB4">
      <w:pPr>
        <w:ind w:left="360"/>
      </w:pPr>
      <w:r>
        <w:t>For example:</w:t>
      </w:r>
      <w:r w:rsidR="00FB1A8D">
        <w:t xml:space="preserve"> </w:t>
      </w:r>
    </w:p>
    <w:p w14:paraId="02933901" w14:textId="77777777" w:rsidR="00282F8E" w:rsidRDefault="00282F8E" w:rsidP="00CC2AB4">
      <w:pPr>
        <w:pStyle w:val="ListBullet"/>
        <w:contextualSpacing w:val="0"/>
      </w:pPr>
      <w:r w:rsidRPr="00CC4A16">
        <w:rPr>
          <w:b/>
        </w:rPr>
        <w:t xml:space="preserve">Reliability Principle </w:t>
      </w:r>
      <w:r>
        <w:rPr>
          <w:b/>
        </w:rPr>
        <w:t xml:space="preserve">1 </w:t>
      </w:r>
      <w:r>
        <w:t>—</w:t>
      </w:r>
      <w:r w:rsidRPr="00EE2BAC">
        <w:t xml:space="preserve"> </w:t>
      </w:r>
      <w:r>
        <w:t>Interconnected bulk power systems shall be planned and operated in a coordinated manner to perform reliably under normal and abnormal conditions as defined in the NERC Standards.</w:t>
      </w:r>
    </w:p>
    <w:p w14:paraId="64FE84CC" w14:textId="77777777" w:rsidR="00B800F9" w:rsidRDefault="00B800F9" w:rsidP="00CC2AB4">
      <w:pPr>
        <w:pStyle w:val="Heading1"/>
        <w:spacing w:before="0" w:after="120"/>
      </w:pPr>
      <w:r>
        <w:t>Document Information</w:t>
      </w:r>
    </w:p>
    <w:p w14:paraId="1339711D" w14:textId="77777777" w:rsidR="00B800F9" w:rsidRPr="005D02A1" w:rsidRDefault="00B800F9" w:rsidP="00CC2AB4">
      <w:pPr>
        <w:rPr>
          <w:i/>
        </w:rPr>
      </w:pPr>
      <w:r w:rsidRPr="005D02A1">
        <w:rPr>
          <w:i/>
        </w:rPr>
        <w:t>Specify the document title, document number, and affected section regarding the request.</w:t>
      </w:r>
    </w:p>
    <w:p w14:paraId="1DB51857" w14:textId="0459AFB1" w:rsidR="00582FE2" w:rsidRDefault="005D02A1" w:rsidP="00CC2AB4">
      <w:r>
        <w:t>See above.</w:t>
      </w:r>
    </w:p>
    <w:p w14:paraId="47737AED" w14:textId="77777777" w:rsidR="00B800F9" w:rsidRDefault="00B800F9" w:rsidP="00CC2AB4">
      <w:pPr>
        <w:pStyle w:val="Heading1"/>
        <w:spacing w:before="0" w:after="120"/>
      </w:pPr>
      <w:r>
        <w:t>Reference Uploads</w:t>
      </w:r>
    </w:p>
    <w:p w14:paraId="343FAE37" w14:textId="77777777" w:rsidR="00B800F9" w:rsidRPr="005D02A1" w:rsidRDefault="00B800F9" w:rsidP="00CC2AB4">
      <w:pPr>
        <w:rPr>
          <w:i/>
        </w:rPr>
      </w:pPr>
      <w:r w:rsidRPr="005D02A1">
        <w:rPr>
          <w:i/>
        </w:rPr>
        <w:t>Please reference or upload an</w:t>
      </w:r>
      <w:r w:rsidR="000571CD" w:rsidRPr="005D02A1">
        <w:rPr>
          <w:i/>
        </w:rPr>
        <w:t>y affected standards, regional business practices, criteria, policies, white papers, technical r</w:t>
      </w:r>
      <w:r w:rsidRPr="005D02A1">
        <w:rPr>
          <w:i/>
        </w:rPr>
        <w:t>eports</w:t>
      </w:r>
      <w:r w:rsidR="000571CD" w:rsidRPr="005D02A1">
        <w:rPr>
          <w:i/>
        </w:rPr>
        <w:t>,</w:t>
      </w:r>
      <w:r w:rsidRPr="005D02A1">
        <w:rPr>
          <w:i/>
        </w:rPr>
        <w:t xml:space="preserve"> or other relevant documents. If this request is based on a conflict of</w:t>
      </w:r>
      <w:r w:rsidR="000571CD" w:rsidRPr="005D02A1">
        <w:rPr>
          <w:i/>
        </w:rPr>
        <w:t xml:space="preserve"> law, please include a copy of—or accessible reference to—</w:t>
      </w:r>
      <w:r w:rsidRPr="005D02A1">
        <w:rPr>
          <w:i/>
        </w:rPr>
        <w:t>the specific law or regulatory mandate in conflict.</w:t>
      </w:r>
    </w:p>
    <w:p w14:paraId="0A0B3ED6" w14:textId="77777777" w:rsidR="00B800F9" w:rsidRDefault="00B800F9" w:rsidP="00CC2AB4">
      <w:pPr>
        <w:pStyle w:val="Heading3"/>
        <w:spacing w:before="0" w:after="120"/>
        <w:rPr>
          <w:rFonts w:asciiTheme="minorHAnsi" w:hAnsiTheme="minorHAnsi"/>
          <w:b w:val="0"/>
        </w:rPr>
      </w:pPr>
      <w:r>
        <w:t xml:space="preserve">Provide </w:t>
      </w:r>
      <w:r w:rsidR="00282F8E">
        <w:t>A</w:t>
      </w:r>
      <w:r>
        <w:t xml:space="preserve">dditional </w:t>
      </w:r>
      <w:r w:rsidR="00282F8E">
        <w:t>C</w:t>
      </w:r>
      <w:r>
        <w:t xml:space="preserve">omments </w:t>
      </w:r>
      <w:r w:rsidRPr="006B1134">
        <w:rPr>
          <w:rFonts w:asciiTheme="minorHAnsi" w:hAnsiTheme="minorHAnsi"/>
          <w:b w:val="0"/>
        </w:rPr>
        <w:t>(if needed).</w:t>
      </w:r>
    </w:p>
    <w:p w14:paraId="6C765CD3" w14:textId="77777777" w:rsidR="00282F8E" w:rsidRDefault="00282F8E" w:rsidP="00CC2AB4">
      <w:r>
        <w:t>NA</w:t>
      </w:r>
    </w:p>
    <w:sectPr w:rsidR="00282F8E" w:rsidSect="008164B8">
      <w:headerReference w:type="even" r:id="rId9"/>
      <w:headerReference w:type="default" r:id="rId10"/>
      <w:footerReference w:type="default" r:id="rId11"/>
      <w:headerReference w:type="first" r:id="rId12"/>
      <w:footerReference w:type="first" r:id="rId13"/>
      <w:pgSz w:w="12240" w:h="15840"/>
      <w:pgMar w:top="720" w:right="1080" w:bottom="1440" w:left="720" w:header="44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4C09" w14:textId="77777777" w:rsidR="00101758" w:rsidRDefault="00101758" w:rsidP="00E60569">
      <w:r>
        <w:separator/>
      </w:r>
    </w:p>
    <w:p w14:paraId="4FEDD0E8" w14:textId="77777777" w:rsidR="00101758" w:rsidRDefault="00101758" w:rsidP="00E60569"/>
  </w:endnote>
  <w:endnote w:type="continuationSeparator" w:id="0">
    <w:p w14:paraId="11F1C33D" w14:textId="77777777" w:rsidR="00101758" w:rsidRDefault="00101758" w:rsidP="00E60569">
      <w:r>
        <w:continuationSeparator/>
      </w:r>
    </w:p>
    <w:p w14:paraId="02DBAC18" w14:textId="77777777" w:rsidR="00101758" w:rsidRDefault="00101758"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950380713"/>
      <w:docPartObj>
        <w:docPartGallery w:val="Page Numbers (Bottom of Page)"/>
        <w:docPartUnique/>
      </w:docPartObj>
    </w:sdtPr>
    <w:sdtEndPr>
      <w:rPr>
        <w:b w:val="0"/>
      </w:rPr>
    </w:sdtEndPr>
    <w:sdtContent>
      <w:p w14:paraId="0D5009CA" w14:textId="77777777" w:rsidR="00E115FD" w:rsidRPr="00E5288E" w:rsidRDefault="00FE6A90" w:rsidP="007B7780">
        <w:pPr>
          <w:pStyle w:val="Footer"/>
          <w:tabs>
            <w:tab w:val="clear" w:pos="4680"/>
            <w:tab w:val="center" w:pos="5040"/>
          </w:tabs>
          <w:rPr>
            <w:sz w:val="22"/>
          </w:rPr>
        </w:pPr>
        <w:r w:rsidRPr="00E5288E">
          <w:rPr>
            <w:sz w:val="22"/>
          </w:rPr>
          <w:drawing>
            <wp:inline distT="0" distB="0" distL="0" distR="0" wp14:anchorId="11083AB0" wp14:editId="03C03860">
              <wp:extent cx="413846" cy="274320"/>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6A1F28">
          <w:rPr>
            <w:b w:val="0"/>
            <w:sz w:val="22"/>
          </w:rPr>
          <w:t>2</w:t>
        </w:r>
        <w:r w:rsidR="00F82512"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FDD4" w14:textId="77777777" w:rsidR="00323BC9" w:rsidRPr="002A59FD" w:rsidRDefault="002A59FD" w:rsidP="002A59FD">
    <w:pPr>
      <w:pStyle w:val="Footer"/>
      <w:pBdr>
        <w:top w:val="single" w:sz="48" w:space="1" w:color="00395D" w:themeColor="text2"/>
        <w:left w:val="single" w:sz="48" w:space="4" w:color="00395D" w:themeColor="text2"/>
        <w:bottom w:val="single" w:sz="48" w:space="1" w:color="00395D" w:themeColor="text2"/>
        <w:right w:val="single" w:sz="48" w:space="4" w:color="00395D" w:themeColor="text2"/>
      </w:pBdr>
      <w:shd w:val="clear" w:color="auto" w:fill="00395D" w:themeFill="text2"/>
      <w:tabs>
        <w:tab w:val="clear" w:pos="4680"/>
        <w:tab w:val="center" w:pos="5040"/>
      </w:tabs>
      <w:spacing w:before="120" w:after="120" w:line="276" w:lineRule="auto"/>
      <w:jc w:val="center"/>
      <w:rPr>
        <w:b w:val="0"/>
        <w:color w:val="FFFFFF" w:themeColor="background1"/>
        <w:spacing w:val="20"/>
        <w:sz w:val="22"/>
      </w:rPr>
    </w:pPr>
    <w:r w:rsidRPr="002A59FD">
      <w:rPr>
        <w:b w:val="0"/>
        <w:color w:val="FFFFFF" w:themeColor="background1"/>
        <w:spacing w:val="20"/>
        <w:sz w:val="22"/>
      </w:rPr>
      <w:t>155 North 400 West | Suite 200 | Salt Lake City, Utah 84103</w:t>
    </w:r>
    <w:r w:rsidRPr="002A59FD">
      <w:rPr>
        <w:b w:val="0"/>
        <w:color w:val="FFFFFF" w:themeColor="background1"/>
        <w:spacing w:val="20"/>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9B589" w14:textId="77777777" w:rsidR="00101758" w:rsidRDefault="00101758" w:rsidP="00E60569">
      <w:r>
        <w:separator/>
      </w:r>
    </w:p>
  </w:footnote>
  <w:footnote w:type="continuationSeparator" w:id="0">
    <w:p w14:paraId="1825F0DF" w14:textId="77777777" w:rsidR="00101758" w:rsidRDefault="00101758" w:rsidP="00E60569">
      <w:r>
        <w:continuationSeparator/>
      </w:r>
    </w:p>
    <w:p w14:paraId="02966B44" w14:textId="77777777" w:rsidR="00101758" w:rsidRDefault="00101758" w:rsidP="00E60569"/>
  </w:footnote>
  <w:footnote w:id="1">
    <w:p w14:paraId="16F209FA" w14:textId="3B73E03D" w:rsidR="006E3099" w:rsidRPr="00070A88" w:rsidRDefault="006E3099" w:rsidP="006E3099">
      <w:pPr>
        <w:pStyle w:val="FootnoteText"/>
        <w:rPr>
          <w:sz w:val="18"/>
          <w:szCs w:val="18"/>
        </w:rPr>
      </w:pPr>
      <w:r w:rsidRPr="00070A88">
        <w:rPr>
          <w:rStyle w:val="FootnoteReference"/>
          <w:sz w:val="18"/>
          <w:szCs w:val="18"/>
        </w:rPr>
        <w:footnoteRef/>
      </w:r>
      <w:r w:rsidRPr="00070A88">
        <w:rPr>
          <w:sz w:val="18"/>
          <w:szCs w:val="18"/>
        </w:rPr>
        <w:t xml:space="preserve"> Per the WECC Reliability Standards </w:t>
      </w:r>
      <w:r w:rsidR="00EF1CA2">
        <w:rPr>
          <w:sz w:val="18"/>
          <w:szCs w:val="18"/>
        </w:rPr>
        <w:t xml:space="preserve">Development </w:t>
      </w:r>
      <w:r w:rsidRPr="00070A88">
        <w:rPr>
          <w:sz w:val="18"/>
          <w:szCs w:val="18"/>
        </w:rPr>
        <w:t>Procedures, Maintenance of RRSs and CRTs:  ‘The WSC shall ensure that each</w:t>
      </w:r>
      <w:r w:rsidR="00EF1CA2">
        <w:rPr>
          <w:sz w:val="18"/>
          <w:szCs w:val="18"/>
        </w:rPr>
        <w:t xml:space="preserve"> (Regional Reliability Standard (RRS)) </w:t>
      </w:r>
      <w:r w:rsidRPr="00070A88">
        <w:rPr>
          <w:sz w:val="18"/>
          <w:szCs w:val="18"/>
        </w:rPr>
        <w:t>is reviewed at least once every five years from the effective date of the most recent version of the document under review. If the review identifies needed changes, the WSC shall cause a remedial SAR to be filed. If the review does not identify needed changes, no further action is required.”</w:t>
      </w:r>
    </w:p>
  </w:footnote>
  <w:footnote w:id="2">
    <w:p w14:paraId="251063B7" w14:textId="77777777" w:rsidR="0049073C" w:rsidRPr="000074C8" w:rsidRDefault="0049073C" w:rsidP="0049073C">
      <w:r>
        <w:rPr>
          <w:rStyle w:val="FootnoteReference"/>
        </w:rPr>
        <w:footnoteRef/>
      </w:r>
      <w:r>
        <w:t xml:space="preserve"> </w:t>
      </w:r>
      <w:r w:rsidRPr="000074C8">
        <w:t>Of note,</w:t>
      </w:r>
      <w:r>
        <w:t xml:space="preserve"> the ATEC approach </w:t>
      </w:r>
      <w:r w:rsidRPr="000074C8">
        <w:t xml:space="preserve">is not used anywhere else within NERC indicating it may not be essential to reliability.  </w:t>
      </w:r>
      <w:r>
        <w:t xml:space="preserve">Further, </w:t>
      </w:r>
      <w:r w:rsidRPr="000074C8">
        <w:t xml:space="preserve">NERC’s parallel Standard, BAL-004-01 Time Error Correction, has been inactive since 2017.  </w:t>
      </w:r>
    </w:p>
    <w:p w14:paraId="67991EE0" w14:textId="2446703D" w:rsidR="0049073C" w:rsidRDefault="0049073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DBA2" w14:textId="453299BA" w:rsidR="009A2649" w:rsidRDefault="009A2649">
    <w:pPr>
      <w:pStyle w:val="Header"/>
    </w:pPr>
    <w:r>
      <w:rPr>
        <w:noProof/>
      </w:rPr>
      <mc:AlternateContent>
        <mc:Choice Requires="wps">
          <w:drawing>
            <wp:anchor distT="0" distB="0" distL="0" distR="0" simplePos="0" relativeHeight="251660288" behindDoc="0" locked="0" layoutInCell="1" allowOverlap="1" wp14:anchorId="41406137" wp14:editId="37216372">
              <wp:simplePos x="635" y="635"/>
              <wp:positionH relativeFrom="page">
                <wp:align>center</wp:align>
              </wp:positionH>
              <wp:positionV relativeFrom="page">
                <wp:align>top</wp:align>
              </wp:positionV>
              <wp:extent cx="443865" cy="443865"/>
              <wp:effectExtent l="0" t="0" r="0" b="12065"/>
              <wp:wrapNone/>
              <wp:docPr id="989486458"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0E6E8C" w14:textId="1EB3BB0A" w:rsidR="009A2649" w:rsidRPr="009A2649" w:rsidRDefault="009A2649" w:rsidP="009A2649">
                          <w:pPr>
                            <w:spacing w:after="0"/>
                            <w:rPr>
                              <w:rFonts w:ascii="Calibri" w:eastAsia="Calibri" w:hAnsi="Calibri" w:cs="Calibri"/>
                              <w:noProof/>
                              <w:color w:val="000000"/>
                              <w:sz w:val="20"/>
                              <w:szCs w:val="20"/>
                            </w:rPr>
                          </w:pPr>
                          <w:r w:rsidRPr="009A2649">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1406137" id="_x0000_t202" coordsize="21600,21600" o:spt="202" path="m,l,21600r21600,l21600,xe">
              <v:stroke joinstyle="miter"/>
              <v:path gradientshapeok="t" o:connecttype="rect"/>
            </v:shapetype>
            <v:shape id="Text Box 2" o:spid="_x0000_s1026" type="#_x0000_t202" alt="&lt;Public&gt;"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20E6E8C" w14:textId="1EB3BB0A" w:rsidR="009A2649" w:rsidRPr="009A2649" w:rsidRDefault="009A2649" w:rsidP="009A2649">
                    <w:pPr>
                      <w:spacing w:after="0"/>
                      <w:rPr>
                        <w:rFonts w:ascii="Calibri" w:eastAsia="Calibri" w:hAnsi="Calibri" w:cs="Calibri"/>
                        <w:noProof/>
                        <w:color w:val="000000"/>
                        <w:sz w:val="20"/>
                        <w:szCs w:val="20"/>
                      </w:rPr>
                    </w:pPr>
                    <w:r w:rsidRPr="009A2649">
                      <w:rPr>
                        <w:rFonts w:ascii="Calibri" w:eastAsia="Calibri" w:hAnsi="Calibri" w:cs="Calibri"/>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736B7" w14:textId="3444B3F7" w:rsidR="009A2649" w:rsidRDefault="009A2649" w:rsidP="000E3DBE">
    <w:pPr>
      <w:pStyle w:val="Header"/>
      <w:spacing w:before="100" w:beforeAutospacing="1" w:after="100" w:afterAutospacing="1"/>
    </w:pPr>
    <w:r>
      <w:t>Attachment A</w:t>
    </w:r>
  </w:p>
  <w:p w14:paraId="76807CB6" w14:textId="77777777" w:rsidR="009A2649" w:rsidRDefault="009A2649" w:rsidP="009A2649">
    <w:pPr>
      <w:pStyle w:val="Header"/>
      <w:spacing w:before="100" w:beforeAutospacing="1" w:after="100" w:afterAutospacing="1"/>
    </w:pPr>
    <w:r w:rsidRPr="009A2649">
      <w:t>Standard Authorization Request</w:t>
    </w:r>
  </w:p>
  <w:p w14:paraId="3A3D5564" w14:textId="77777777" w:rsidR="009A2649" w:rsidRPr="009A2649" w:rsidRDefault="009A2649" w:rsidP="009A2649">
    <w:pPr>
      <w:pStyle w:val="Header"/>
      <w:spacing w:before="100" w:beforeAutospacing="1" w:after="100" w:afterAutospacing="1"/>
    </w:pPr>
    <w:r w:rsidRPr="009A2649">
      <w:t>WECC-0147</w:t>
    </w:r>
  </w:p>
  <w:p w14:paraId="7C3C8F7A" w14:textId="5E650352" w:rsidR="00E115FD" w:rsidRPr="003B3D8C" w:rsidRDefault="009A2649" w:rsidP="00A961A9">
    <w:pPr>
      <w:pStyle w:val="Header"/>
      <w:spacing w:before="100" w:beforeAutospacing="1" w:after="100" w:afterAutospacing="1"/>
    </w:pPr>
    <w:r w:rsidRPr="009A2649">
      <w:t>BAL-004-WECC-4 ATEC</w:t>
    </w:r>
    <w:r w:rsidRPr="009A2649">
      <w:rPr>
        <w:noProof/>
      </w:rPr>
      <mc:AlternateContent>
        <mc:Choice Requires="wps">
          <w:drawing>
            <wp:anchor distT="0" distB="0" distL="0" distR="0" simplePos="0" relativeHeight="251663360" behindDoc="0" locked="0" layoutInCell="1" allowOverlap="1" wp14:anchorId="0435AEC7" wp14:editId="1A7EBF85">
              <wp:simplePos x="457200" y="284085"/>
              <wp:positionH relativeFrom="page">
                <wp:align>center</wp:align>
              </wp:positionH>
              <wp:positionV relativeFrom="page">
                <wp:align>top</wp:align>
              </wp:positionV>
              <wp:extent cx="443865" cy="443865"/>
              <wp:effectExtent l="0" t="0" r="0" b="12065"/>
              <wp:wrapNone/>
              <wp:docPr id="1543770162"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42EE35" w14:textId="77777777" w:rsidR="009A2649" w:rsidRPr="009A2649" w:rsidRDefault="009A2649" w:rsidP="009A2649">
                          <w:pPr>
                            <w:spacing w:after="0"/>
                            <w:rPr>
                              <w:rFonts w:ascii="Calibri" w:eastAsia="Calibri" w:hAnsi="Calibri" w:cs="Calibri"/>
                              <w:noProof/>
                              <w:color w:val="000000"/>
                              <w:sz w:val="20"/>
                              <w:szCs w:val="20"/>
                            </w:rPr>
                          </w:pPr>
                          <w:r w:rsidRPr="009A2649">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35AEC7" id="_x0000_t202" coordsize="21600,21600" o:spt="202" path="m,l,21600r21600,l21600,xe">
              <v:stroke joinstyle="miter"/>
              <v:path gradientshapeok="t" o:connecttype="rect"/>
            </v:shapetype>
            <v:shape id="Text Box 1" o:spid="_x0000_s1027" type="#_x0000_t202" alt="&lt;Public&gt;"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842EE35" w14:textId="77777777" w:rsidR="009A2649" w:rsidRPr="009A2649" w:rsidRDefault="009A2649" w:rsidP="009A2649">
                    <w:pPr>
                      <w:spacing w:after="0"/>
                      <w:rPr>
                        <w:rFonts w:ascii="Calibri" w:eastAsia="Calibri" w:hAnsi="Calibri" w:cs="Calibri"/>
                        <w:noProof/>
                        <w:color w:val="000000"/>
                        <w:sz w:val="20"/>
                        <w:szCs w:val="20"/>
                      </w:rPr>
                    </w:pPr>
                    <w:r w:rsidRPr="009A2649">
                      <w:rPr>
                        <w:rFonts w:ascii="Calibri" w:eastAsia="Calibri" w:hAnsi="Calibri" w:cs="Calibri"/>
                        <w:noProof/>
                        <w:color w:val="000000"/>
                        <w:sz w:val="20"/>
                        <w:szCs w:val="20"/>
                      </w:rPr>
                      <w:t>&lt;Public&gt;</w:t>
                    </w:r>
                  </w:p>
                </w:txbxContent>
              </v:textbox>
              <w10:wrap anchorx="page" anchory="page"/>
            </v:shape>
          </w:pict>
        </mc:Fallback>
      </mc:AlternateContent>
    </w:r>
    <w:r>
      <w:rPr>
        <w:noProof/>
      </w:rPr>
      <mc:AlternateContent>
        <mc:Choice Requires="wps">
          <w:drawing>
            <wp:anchor distT="0" distB="0" distL="0" distR="0" simplePos="0" relativeHeight="251661312" behindDoc="0" locked="0" layoutInCell="1" allowOverlap="1" wp14:anchorId="3CC1A6B8" wp14:editId="4F92E91C">
              <wp:simplePos x="635" y="635"/>
              <wp:positionH relativeFrom="page">
                <wp:align>center</wp:align>
              </wp:positionH>
              <wp:positionV relativeFrom="page">
                <wp:align>top</wp:align>
              </wp:positionV>
              <wp:extent cx="443865" cy="443865"/>
              <wp:effectExtent l="0" t="0" r="0" b="12065"/>
              <wp:wrapNone/>
              <wp:docPr id="546176300"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82A15B" w14:textId="237523DC" w:rsidR="009A2649" w:rsidRPr="009A2649" w:rsidRDefault="009A2649" w:rsidP="009A2649">
                          <w:pPr>
                            <w:spacing w:after="0"/>
                            <w:rPr>
                              <w:rFonts w:ascii="Calibri" w:eastAsia="Calibri" w:hAnsi="Calibri" w:cs="Calibri"/>
                              <w:noProof/>
                              <w:color w:val="000000"/>
                              <w:sz w:val="20"/>
                              <w:szCs w:val="20"/>
                            </w:rPr>
                          </w:pPr>
                          <w:r w:rsidRPr="009A2649">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 w14:anchorId="3CC1A6B8" id="Text Box 3" o:spid="_x0000_s1028" type="#_x0000_t202" alt="&lt;Public&gt;"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982A15B" w14:textId="237523DC" w:rsidR="009A2649" w:rsidRPr="009A2649" w:rsidRDefault="009A2649" w:rsidP="009A2649">
                    <w:pPr>
                      <w:spacing w:after="0"/>
                      <w:rPr>
                        <w:rFonts w:ascii="Calibri" w:eastAsia="Calibri" w:hAnsi="Calibri" w:cs="Calibri"/>
                        <w:noProof/>
                        <w:color w:val="000000"/>
                        <w:sz w:val="20"/>
                        <w:szCs w:val="20"/>
                      </w:rPr>
                    </w:pPr>
                    <w:r w:rsidRPr="009A2649">
                      <w:rPr>
                        <w:rFonts w:ascii="Calibri" w:eastAsia="Calibri" w:hAnsi="Calibri" w:cs="Calibri"/>
                        <w:noProof/>
                        <w:color w:val="000000"/>
                        <w:sz w:val="20"/>
                        <w:szCs w:val="20"/>
                      </w:rPr>
                      <w:t>&lt;Public&gt;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109DC" w14:textId="77777777" w:rsidR="00EF1CA2" w:rsidRDefault="009A2649" w:rsidP="009A2649">
    <w:pPr>
      <w:pStyle w:val="Header"/>
    </w:pPr>
    <w:bookmarkStart w:id="2" w:name="_Hlk159918485"/>
    <w:r>
      <w:rPr>
        <w:noProof/>
      </w:rPr>
      <w:drawing>
        <wp:anchor distT="0" distB="0" distL="114300" distR="114300" simplePos="0" relativeHeight="251658240" behindDoc="1" locked="0" layoutInCell="1" allowOverlap="1" wp14:anchorId="003F6477" wp14:editId="33CAAB4F">
          <wp:simplePos x="0" y="0"/>
          <wp:positionH relativeFrom="column">
            <wp:posOffset>26035</wp:posOffset>
          </wp:positionH>
          <wp:positionV relativeFrom="paragraph">
            <wp:posOffset>27940</wp:posOffset>
          </wp:positionV>
          <wp:extent cx="2928620" cy="938530"/>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8620" cy="938530"/>
                  </a:xfrm>
                  <a:prstGeom prst="rect">
                    <a:avLst/>
                  </a:prstGeom>
                </pic:spPr>
              </pic:pic>
            </a:graphicData>
          </a:graphic>
          <wp14:sizeRelH relativeFrom="page">
            <wp14:pctWidth>0</wp14:pctWidth>
          </wp14:sizeRelH>
          <wp14:sizeRelV relativeFrom="page">
            <wp14:pctHeight>0</wp14:pctHeight>
          </wp14:sizeRelV>
        </wp:anchor>
      </w:drawing>
    </w:r>
    <w:r>
      <w:t>Attachment A</w:t>
    </w:r>
    <w:bookmarkStart w:id="3" w:name="_Hlk159920120"/>
    <w:bookmarkStart w:id="4" w:name="_Hlk159920121"/>
  </w:p>
  <w:p w14:paraId="752505AA" w14:textId="4F73820D" w:rsidR="009A2649" w:rsidRDefault="009A2649" w:rsidP="009A2649">
    <w:pPr>
      <w:pStyle w:val="Header"/>
    </w:pPr>
    <w:r>
      <w:t>Standard Authorization Request</w:t>
    </w:r>
  </w:p>
  <w:p w14:paraId="28572FB0" w14:textId="34DF94A8" w:rsidR="009A2649" w:rsidRPr="00C20FD9" w:rsidRDefault="009A2649" w:rsidP="009A2649">
    <w:pPr>
      <w:pStyle w:val="Header"/>
    </w:pPr>
    <w:r w:rsidRPr="00C20FD9">
      <w:t>WECC-0147</w:t>
    </w:r>
  </w:p>
  <w:p w14:paraId="31B0BA6D" w14:textId="12D7974D" w:rsidR="00F82512" w:rsidRPr="00761FA8" w:rsidRDefault="009A2649" w:rsidP="009A2649">
    <w:pPr>
      <w:pStyle w:val="Header"/>
    </w:pPr>
    <w:r w:rsidRPr="00C20FD9">
      <w:t>BAL-004-WECC-4 ATEC</w:t>
    </w:r>
    <w:bookmarkEnd w:id="2"/>
    <w:r>
      <w:rPr>
        <w:noProof/>
      </w:rPr>
      <mc:AlternateContent>
        <mc:Choice Requires="wps">
          <w:drawing>
            <wp:anchor distT="0" distB="0" distL="0" distR="0" simplePos="0" relativeHeight="251659264" behindDoc="0" locked="0" layoutInCell="1" allowOverlap="1" wp14:anchorId="7D3AC3B0" wp14:editId="41717066">
              <wp:simplePos x="457200" y="284085"/>
              <wp:positionH relativeFrom="page">
                <wp:align>center</wp:align>
              </wp:positionH>
              <wp:positionV relativeFrom="page">
                <wp:align>top</wp:align>
              </wp:positionV>
              <wp:extent cx="443865" cy="443865"/>
              <wp:effectExtent l="0" t="0" r="0" b="12065"/>
              <wp:wrapNone/>
              <wp:docPr id="366435885"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D761B7" w14:textId="01CC5B03" w:rsidR="009A2649" w:rsidRPr="009A2649" w:rsidRDefault="009A2649" w:rsidP="009A2649">
                          <w:pPr>
                            <w:spacing w:after="0"/>
                            <w:rPr>
                              <w:rFonts w:ascii="Calibri" w:eastAsia="Calibri" w:hAnsi="Calibri" w:cs="Calibri"/>
                              <w:noProof/>
                              <w:color w:val="000000"/>
                              <w:sz w:val="20"/>
                              <w:szCs w:val="20"/>
                            </w:rPr>
                          </w:pPr>
                          <w:r w:rsidRPr="009A2649">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3AC3B0" id="_x0000_t202" coordsize="21600,21600" o:spt="202" path="m,l,21600r21600,l21600,xe">
              <v:stroke joinstyle="miter"/>
              <v:path gradientshapeok="t" o:connecttype="rect"/>
            </v:shapetype>
            <v:shape id="_x0000_s1029" type="#_x0000_t202" alt="&lt;Public&gt;"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20D761B7" w14:textId="01CC5B03" w:rsidR="009A2649" w:rsidRPr="009A2649" w:rsidRDefault="009A2649" w:rsidP="009A2649">
                    <w:pPr>
                      <w:spacing w:after="0"/>
                      <w:rPr>
                        <w:rFonts w:ascii="Calibri" w:eastAsia="Calibri" w:hAnsi="Calibri" w:cs="Calibri"/>
                        <w:noProof/>
                        <w:color w:val="000000"/>
                        <w:sz w:val="20"/>
                        <w:szCs w:val="20"/>
                      </w:rPr>
                    </w:pPr>
                    <w:r w:rsidRPr="009A2649">
                      <w:rPr>
                        <w:rFonts w:ascii="Calibri" w:eastAsia="Calibri" w:hAnsi="Calibri" w:cs="Calibri"/>
                        <w:noProof/>
                        <w:color w:val="000000"/>
                        <w:sz w:val="20"/>
                        <w:szCs w:val="20"/>
                      </w:rPr>
                      <w:t>&lt;Public&gt;</w:t>
                    </w:r>
                  </w:p>
                </w:txbxContent>
              </v:textbox>
              <w10:wrap anchorx="page" anchory="page"/>
            </v:shape>
          </w:pict>
        </mc:Fallback>
      </mc:AlternateContent>
    </w: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FF018C0"/>
    <w:lvl w:ilvl="0">
      <w:start w:val="1"/>
      <w:numFmt w:val="decimal"/>
      <w:pStyle w:val="ListNumber"/>
      <w:lvlText w:val="%1."/>
      <w:lvlJc w:val="left"/>
      <w:pPr>
        <w:ind w:left="360" w:hanging="360"/>
      </w:pPr>
    </w:lvl>
  </w:abstractNum>
  <w:abstractNum w:abstractNumId="1" w15:restartNumberingAfterBreak="0">
    <w:nsid w:val="0A3D0816"/>
    <w:multiLevelType w:val="hybridMultilevel"/>
    <w:tmpl w:val="BAE4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3" w15:restartNumberingAfterBreak="0">
    <w:nsid w:val="29AD7A21"/>
    <w:multiLevelType w:val="hybridMultilevel"/>
    <w:tmpl w:val="3D368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691196"/>
    <w:multiLevelType w:val="hybridMultilevel"/>
    <w:tmpl w:val="AF861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048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EA93B76"/>
    <w:multiLevelType w:val="hybridMultilevel"/>
    <w:tmpl w:val="83BC5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15:restartNumberingAfterBreak="0">
    <w:nsid w:val="33C30749"/>
    <w:multiLevelType w:val="hybridMultilevel"/>
    <w:tmpl w:val="799E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11" w15:restartNumberingAfterBreak="0">
    <w:nsid w:val="5BC9016F"/>
    <w:multiLevelType w:val="hybridMultilevel"/>
    <w:tmpl w:val="6288931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3"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4"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15"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7" w15:restartNumberingAfterBreak="0">
    <w:nsid w:val="79C72188"/>
    <w:multiLevelType w:val="hybridMultilevel"/>
    <w:tmpl w:val="1EFAE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9468772">
    <w:abstractNumId w:val="15"/>
  </w:num>
  <w:num w:numId="2" w16cid:durableId="1945579130">
    <w:abstractNumId w:val="10"/>
  </w:num>
  <w:num w:numId="3" w16cid:durableId="1662464711">
    <w:abstractNumId w:val="2"/>
  </w:num>
  <w:num w:numId="4" w16cid:durableId="1658345267">
    <w:abstractNumId w:val="4"/>
  </w:num>
  <w:num w:numId="5" w16cid:durableId="1850220824">
    <w:abstractNumId w:val="16"/>
  </w:num>
  <w:num w:numId="6" w16cid:durableId="2037733985">
    <w:abstractNumId w:val="8"/>
  </w:num>
  <w:num w:numId="7" w16cid:durableId="2120483749">
    <w:abstractNumId w:val="14"/>
  </w:num>
  <w:num w:numId="8" w16cid:durableId="873495426">
    <w:abstractNumId w:val="12"/>
  </w:num>
  <w:num w:numId="9" w16cid:durableId="53048786">
    <w:abstractNumId w:val="13"/>
  </w:num>
  <w:num w:numId="10" w16cid:durableId="2069255909">
    <w:abstractNumId w:val="0"/>
  </w:num>
  <w:num w:numId="11" w16cid:durableId="351999315">
    <w:abstractNumId w:val="3"/>
  </w:num>
  <w:num w:numId="12" w16cid:durableId="1824539247">
    <w:abstractNumId w:val="5"/>
  </w:num>
  <w:num w:numId="13" w16cid:durableId="1253320423">
    <w:abstractNumId w:val="1"/>
  </w:num>
  <w:num w:numId="14" w16cid:durableId="1734962343">
    <w:abstractNumId w:val="11"/>
  </w:num>
  <w:num w:numId="15" w16cid:durableId="843016080">
    <w:abstractNumId w:val="7"/>
  </w:num>
  <w:num w:numId="16" w16cid:durableId="441650491">
    <w:abstractNumId w:val="17"/>
  </w:num>
  <w:num w:numId="17" w16cid:durableId="1730570074">
    <w:abstractNumId w:val="6"/>
  </w:num>
  <w:num w:numId="18" w16cid:durableId="9818906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0F9"/>
    <w:rsid w:val="000074C8"/>
    <w:rsid w:val="00017D26"/>
    <w:rsid w:val="0002307C"/>
    <w:rsid w:val="00044C23"/>
    <w:rsid w:val="000571CD"/>
    <w:rsid w:val="00063A14"/>
    <w:rsid w:val="00070A88"/>
    <w:rsid w:val="00071563"/>
    <w:rsid w:val="000A1755"/>
    <w:rsid w:val="000A6870"/>
    <w:rsid w:val="000E3DBE"/>
    <w:rsid w:val="000F1F4E"/>
    <w:rsid w:val="000F32DF"/>
    <w:rsid w:val="000F614E"/>
    <w:rsid w:val="00101758"/>
    <w:rsid w:val="001023DF"/>
    <w:rsid w:val="001636D2"/>
    <w:rsid w:val="0017215E"/>
    <w:rsid w:val="00190459"/>
    <w:rsid w:val="001A4DD4"/>
    <w:rsid w:val="001B5DBC"/>
    <w:rsid w:val="001B7CE9"/>
    <w:rsid w:val="001C3F13"/>
    <w:rsid w:val="001C6B5C"/>
    <w:rsid w:val="001E6E15"/>
    <w:rsid w:val="001F2938"/>
    <w:rsid w:val="0020560B"/>
    <w:rsid w:val="002122A7"/>
    <w:rsid w:val="002267AC"/>
    <w:rsid w:val="0022692D"/>
    <w:rsid w:val="0024052E"/>
    <w:rsid w:val="00245949"/>
    <w:rsid w:val="00255412"/>
    <w:rsid w:val="00282F8E"/>
    <w:rsid w:val="0029535F"/>
    <w:rsid w:val="002A59FD"/>
    <w:rsid w:val="002B4DA5"/>
    <w:rsid w:val="002C53A1"/>
    <w:rsid w:val="002E1330"/>
    <w:rsid w:val="002F13EA"/>
    <w:rsid w:val="00323BC9"/>
    <w:rsid w:val="00355215"/>
    <w:rsid w:val="00366B46"/>
    <w:rsid w:val="00384C67"/>
    <w:rsid w:val="003B3D8C"/>
    <w:rsid w:val="003E1973"/>
    <w:rsid w:val="003F62B4"/>
    <w:rsid w:val="003F7161"/>
    <w:rsid w:val="00402AE5"/>
    <w:rsid w:val="0043738A"/>
    <w:rsid w:val="00442CCC"/>
    <w:rsid w:val="0049073C"/>
    <w:rsid w:val="004D1F97"/>
    <w:rsid w:val="004D4BB4"/>
    <w:rsid w:val="004D596F"/>
    <w:rsid w:val="005264DC"/>
    <w:rsid w:val="0054293A"/>
    <w:rsid w:val="005467C5"/>
    <w:rsid w:val="00550DB3"/>
    <w:rsid w:val="00550FBC"/>
    <w:rsid w:val="00582FE2"/>
    <w:rsid w:val="005D02A1"/>
    <w:rsid w:val="00603CB7"/>
    <w:rsid w:val="006250AC"/>
    <w:rsid w:val="006431F0"/>
    <w:rsid w:val="0065728A"/>
    <w:rsid w:val="00657A73"/>
    <w:rsid w:val="006A1F28"/>
    <w:rsid w:val="006B1134"/>
    <w:rsid w:val="006C214C"/>
    <w:rsid w:val="006E3099"/>
    <w:rsid w:val="006E3E59"/>
    <w:rsid w:val="0070253F"/>
    <w:rsid w:val="00703D0B"/>
    <w:rsid w:val="007040D9"/>
    <w:rsid w:val="007130D6"/>
    <w:rsid w:val="007153EF"/>
    <w:rsid w:val="00761FA8"/>
    <w:rsid w:val="0077402F"/>
    <w:rsid w:val="007A46E1"/>
    <w:rsid w:val="007B7780"/>
    <w:rsid w:val="007F1F63"/>
    <w:rsid w:val="008164B8"/>
    <w:rsid w:val="00860E40"/>
    <w:rsid w:val="008A375F"/>
    <w:rsid w:val="008A7ACF"/>
    <w:rsid w:val="008D263C"/>
    <w:rsid w:val="008E6FCA"/>
    <w:rsid w:val="008E7488"/>
    <w:rsid w:val="008F3E53"/>
    <w:rsid w:val="008F660D"/>
    <w:rsid w:val="009261DF"/>
    <w:rsid w:val="00937FDD"/>
    <w:rsid w:val="009A2649"/>
    <w:rsid w:val="009A4D48"/>
    <w:rsid w:val="009B19EE"/>
    <w:rsid w:val="009E040B"/>
    <w:rsid w:val="009E1D07"/>
    <w:rsid w:val="009F0B8E"/>
    <w:rsid w:val="009F24F7"/>
    <w:rsid w:val="00A27559"/>
    <w:rsid w:val="00A323FE"/>
    <w:rsid w:val="00A539AE"/>
    <w:rsid w:val="00A54B3F"/>
    <w:rsid w:val="00A5705C"/>
    <w:rsid w:val="00A92306"/>
    <w:rsid w:val="00A961A9"/>
    <w:rsid w:val="00AA4A6D"/>
    <w:rsid w:val="00AB1BFD"/>
    <w:rsid w:val="00B2550C"/>
    <w:rsid w:val="00B6027C"/>
    <w:rsid w:val="00B62D92"/>
    <w:rsid w:val="00B66ECD"/>
    <w:rsid w:val="00B800F9"/>
    <w:rsid w:val="00B9772D"/>
    <w:rsid w:val="00BA7DBE"/>
    <w:rsid w:val="00BB44E9"/>
    <w:rsid w:val="00BC547F"/>
    <w:rsid w:val="00BF79BD"/>
    <w:rsid w:val="00C05765"/>
    <w:rsid w:val="00C11B97"/>
    <w:rsid w:val="00C94910"/>
    <w:rsid w:val="00CC2AB4"/>
    <w:rsid w:val="00CC4A16"/>
    <w:rsid w:val="00CF774D"/>
    <w:rsid w:val="00D21EAF"/>
    <w:rsid w:val="00D3425C"/>
    <w:rsid w:val="00D512D1"/>
    <w:rsid w:val="00D5170E"/>
    <w:rsid w:val="00D766C9"/>
    <w:rsid w:val="00DA5509"/>
    <w:rsid w:val="00DC0F31"/>
    <w:rsid w:val="00DC3A94"/>
    <w:rsid w:val="00DC5D63"/>
    <w:rsid w:val="00E115FD"/>
    <w:rsid w:val="00E14069"/>
    <w:rsid w:val="00E5288E"/>
    <w:rsid w:val="00E5719E"/>
    <w:rsid w:val="00E60569"/>
    <w:rsid w:val="00E818CC"/>
    <w:rsid w:val="00EA2394"/>
    <w:rsid w:val="00EC4B79"/>
    <w:rsid w:val="00ED37E9"/>
    <w:rsid w:val="00EE2BAC"/>
    <w:rsid w:val="00EE461E"/>
    <w:rsid w:val="00EF1CA2"/>
    <w:rsid w:val="00F23838"/>
    <w:rsid w:val="00F82512"/>
    <w:rsid w:val="00F853EC"/>
    <w:rsid w:val="00F8781A"/>
    <w:rsid w:val="00F952BA"/>
    <w:rsid w:val="00F973A4"/>
    <w:rsid w:val="00FA1259"/>
    <w:rsid w:val="00FB1A8D"/>
    <w:rsid w:val="00FE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82261"/>
  <w15:chartTrackingRefBased/>
  <w15:docId w15:val="{0C5295DF-6511-4735-86EC-E02CFEE8B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E1"/>
    <w:rPr>
      <w:rFonts w:ascii="Palatino Linotype" w:hAnsi="Palatino Linotype"/>
    </w:rPr>
  </w:style>
  <w:style w:type="paragraph" w:styleId="Heading1">
    <w:name w:val="heading 1"/>
    <w:basedOn w:val="Normal"/>
    <w:next w:val="Normal"/>
    <w:link w:val="Heading1Char"/>
    <w:uiPriority w:val="2"/>
    <w:qFormat/>
    <w:rsid w:val="00CC4A16"/>
    <w:pPr>
      <w:keepNext/>
      <w:keepLines/>
      <w:pBdr>
        <w:bottom w:val="single" w:sz="12" w:space="1" w:color="414042"/>
      </w:pBdr>
      <w:suppressAutoHyphens/>
      <w:spacing w:before="240" w:after="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CC4A16"/>
    <w:pPr>
      <w:suppressAutoHyphens/>
      <w:spacing w:before="240" w:after="0"/>
      <w:outlineLvl w:val="1"/>
    </w:pPr>
    <w:rPr>
      <w:rFonts w:ascii="Lucida Sans" w:hAnsi="Lucida Sans"/>
      <w:b/>
      <w:sz w:val="24"/>
    </w:rPr>
  </w:style>
  <w:style w:type="paragraph" w:styleId="Heading3">
    <w:name w:val="heading 3"/>
    <w:basedOn w:val="Normal"/>
    <w:next w:val="Normal"/>
    <w:link w:val="Heading3Char"/>
    <w:uiPriority w:val="4"/>
    <w:unhideWhenUsed/>
    <w:qFormat/>
    <w:rsid w:val="000571CD"/>
    <w:pPr>
      <w:keepNext/>
      <w:suppressAutoHyphens/>
      <w:spacing w:before="240" w:after="60"/>
      <w:outlineLvl w:val="2"/>
    </w:pPr>
    <w:rPr>
      <w:rFonts w:ascii="Lucida Sans" w:hAnsi="Lucida Sans"/>
      <w:b/>
    </w:rPr>
  </w:style>
  <w:style w:type="paragraph" w:styleId="Heading4">
    <w:name w:val="heading 4"/>
    <w:basedOn w:val="Normal"/>
    <w:next w:val="Normal"/>
    <w:link w:val="Heading4Char"/>
    <w:uiPriority w:val="5"/>
    <w:unhideWhenUsed/>
    <w:qFormat/>
    <w:rsid w:val="00CC4A16"/>
    <w:pPr>
      <w:keepNext/>
      <w:keepLines/>
      <w:spacing w:before="240" w:after="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CC4A16"/>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uiPriority w:val="7"/>
    <w:qFormat/>
    <w:rsid w:val="002E1330"/>
    <w:pPr>
      <w:numPr>
        <w:numId w:val="6"/>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CC4A16"/>
    <w:rPr>
      <w:rFonts w:ascii="Lucida Sans" w:hAnsi="Lucida Sans"/>
      <w:b/>
      <w:sz w:val="24"/>
    </w:rPr>
  </w:style>
  <w:style w:type="character" w:customStyle="1" w:styleId="Heading3Char">
    <w:name w:val="Heading 3 Char"/>
    <w:basedOn w:val="DefaultParagraphFont"/>
    <w:link w:val="Heading3"/>
    <w:uiPriority w:val="4"/>
    <w:rsid w:val="000571CD"/>
    <w:rPr>
      <w:rFonts w:ascii="Lucida Sans" w:hAnsi="Lucida Sans"/>
      <w:b/>
    </w:rPr>
  </w:style>
  <w:style w:type="character" w:customStyle="1" w:styleId="Heading4Char">
    <w:name w:val="Heading 4 Char"/>
    <w:basedOn w:val="DefaultParagraphFont"/>
    <w:link w:val="Heading4"/>
    <w:uiPriority w:val="5"/>
    <w:rsid w:val="00CC4A16"/>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5172" w:themeColor="accent1"/>
        <w:left w:val="single" w:sz="4" w:space="0" w:color="005172" w:themeColor="accent1"/>
        <w:bottom w:val="single" w:sz="4" w:space="0" w:color="005172" w:themeColor="accent1"/>
        <w:right w:val="single" w:sz="4" w:space="0" w:color="005172" w:themeColor="accent1"/>
      </w:tblBorders>
    </w:tblPr>
    <w:tblStylePr w:type="firstRow">
      <w:rPr>
        <w:b/>
        <w:bCs/>
        <w:color w:val="FFFFFF" w:themeColor="background1"/>
      </w:rPr>
      <w:tblPr/>
      <w:tcPr>
        <w:shd w:val="clear" w:color="auto" w:fill="005172" w:themeFill="accent1"/>
      </w:tcPr>
    </w:tblStylePr>
    <w:tblStylePr w:type="lastRow">
      <w:rPr>
        <w:b/>
        <w:bCs/>
      </w:rPr>
      <w:tblPr/>
      <w:tcPr>
        <w:tcBorders>
          <w:top w:val="double" w:sz="4" w:space="0" w:color="0051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72" w:themeColor="accent1"/>
          <w:left w:val="nil"/>
        </w:tcBorders>
      </w:tcPr>
    </w:tblStylePr>
    <w:tblStylePr w:type="swCell">
      <w:tblPr/>
      <w:tcPr>
        <w:tcBorders>
          <w:top w:val="double" w:sz="4" w:space="0" w:color="005172" w:themeColor="accent1"/>
          <w:right w:val="nil"/>
        </w:tcBorders>
      </w:tcPr>
    </w:tblStylePr>
  </w:style>
  <w:style w:type="table" w:customStyle="1" w:styleId="WECCTableStyle">
    <w:name w:val="WECC Table Style"/>
    <w:basedOn w:val="ListTable3-Accent1"/>
    <w:uiPriority w:val="99"/>
    <w:rsid w:val="00D21EA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5172" w:themeFill="accent1"/>
      </w:tcPr>
    </w:tblStylePr>
    <w:tblStylePr w:type="lastRow">
      <w:rPr>
        <w:b w:val="0"/>
        <w:bCs/>
      </w:rPr>
      <w:tblPr/>
      <w:tcPr>
        <w:tcBorders>
          <w:top w:val="single" w:sz="4" w:space="0" w:color="auto"/>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nil"/>
        </w:tcBorders>
      </w:tcPr>
    </w:tblStylePr>
    <w:tblStylePr w:type="swCell">
      <w:tblPr/>
      <w:tcPr>
        <w:tcBorders>
          <w:top w:val="single" w:sz="4" w:space="0" w:color="auto"/>
          <w:right w:val="nil"/>
        </w:tcBorders>
      </w:tcPr>
    </w:tblStylePr>
  </w:style>
  <w:style w:type="paragraph" w:styleId="ListBullet">
    <w:name w:val="List Bullet"/>
    <w:basedOn w:val="Normal"/>
    <w:uiPriority w:val="6"/>
    <w:qFormat/>
    <w:rsid w:val="002E1330"/>
    <w:pPr>
      <w:numPr>
        <w:numId w:val="8"/>
      </w:numPr>
      <w:contextualSpacing/>
    </w:pPr>
  </w:style>
  <w:style w:type="paragraph" w:styleId="ListNumber">
    <w:name w:val="List Number"/>
    <w:basedOn w:val="Normal"/>
    <w:uiPriority w:val="99"/>
    <w:unhideWhenUsed/>
    <w:qFormat/>
    <w:rsid w:val="00B9772D"/>
    <w:pPr>
      <w:numPr>
        <w:numId w:val="10"/>
      </w:numPr>
      <w:suppressAutoHyphens/>
      <w:spacing w:before="120" w:after="60"/>
      <w:ind w:left="720"/>
    </w:pPr>
    <w:rPr>
      <w:rFonts w:asciiTheme="minorHAnsi" w:hAnsiTheme="minorHAnsi"/>
      <w:sz w:val="24"/>
    </w:rPr>
  </w:style>
  <w:style w:type="paragraph" w:styleId="Caption">
    <w:name w:val="caption"/>
    <w:basedOn w:val="Normal"/>
    <w:next w:val="Normal"/>
    <w:uiPriority w:val="35"/>
    <w:semiHidden/>
    <w:unhideWhenUsed/>
    <w:qFormat/>
    <w:rsid w:val="00B9772D"/>
    <w:pPr>
      <w:suppressAutoHyphens/>
      <w:spacing w:before="120" w:line="240" w:lineRule="auto"/>
      <w:contextualSpacing/>
      <w:jc w:val="center"/>
    </w:pPr>
    <w:rPr>
      <w:rFonts w:asciiTheme="minorHAnsi" w:hAnsiTheme="minorHAnsi"/>
      <w:b/>
      <w:bCs/>
      <w:color w:val="000000" w:themeColor="text1"/>
      <w:sz w:val="20"/>
      <w:szCs w:val="18"/>
    </w:rPr>
  </w:style>
  <w:style w:type="paragraph" w:styleId="FootnoteText">
    <w:name w:val="footnote text"/>
    <w:basedOn w:val="Normal"/>
    <w:link w:val="FootnoteTextChar"/>
    <w:uiPriority w:val="99"/>
    <w:semiHidden/>
    <w:unhideWhenUsed/>
    <w:rsid w:val="00B977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72D"/>
    <w:rPr>
      <w:rFonts w:ascii="Palatino Linotype" w:hAnsi="Palatino Linotype"/>
      <w:sz w:val="20"/>
      <w:szCs w:val="20"/>
    </w:rPr>
  </w:style>
  <w:style w:type="character" w:styleId="FootnoteReference">
    <w:name w:val="footnote reference"/>
    <w:basedOn w:val="DefaultParagraphFont"/>
    <w:uiPriority w:val="99"/>
    <w:semiHidden/>
    <w:unhideWhenUsed/>
    <w:rsid w:val="00B9772D"/>
    <w:rPr>
      <w:vertAlign w:val="superscript"/>
    </w:rPr>
  </w:style>
  <w:style w:type="character" w:styleId="UnresolvedMention">
    <w:name w:val="Unresolved Mention"/>
    <w:basedOn w:val="DefaultParagraphFont"/>
    <w:uiPriority w:val="99"/>
    <w:semiHidden/>
    <w:unhideWhenUsed/>
    <w:rsid w:val="00860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lack@wecc.org"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ECC Word Theme">
  <a:themeElements>
    <a:clrScheme name="WECC Palette">
      <a:dk1>
        <a:srgbClr val="000000"/>
      </a:dk1>
      <a:lt1>
        <a:srgbClr val="FFFFFF"/>
      </a:lt1>
      <a:dk2>
        <a:srgbClr val="00395D"/>
      </a:dk2>
      <a:lt2>
        <a:srgbClr val="A99260"/>
      </a:lt2>
      <a:accent1>
        <a:srgbClr val="005172"/>
      </a:accent1>
      <a:accent2>
        <a:srgbClr val="005238"/>
      </a:accent2>
      <a:accent3>
        <a:srgbClr val="6D2D41"/>
      </a:accent3>
      <a:accent4>
        <a:srgbClr val="B53713"/>
      </a:accent4>
      <a:accent5>
        <a:srgbClr val="666666"/>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Reliability Standard</Document_x0020_Categorization_x0020_Policy>
    <TaxCatchAll xmlns="4bd63098-0c83-43cf-abdd-085f2cc55a51">
      <Value>2218</Value>
      <Value>2419</Value>
      <Value>1539</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WECC-0147</TermName>
          <TermId xmlns="http://schemas.microsoft.com/office/infopath/2007/PartnerControls">2233aa4a-1871-4678-86da-664623b26f51</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6264</AccountId>
        <AccountType/>
      </UserInfo>
    </Approver>
    <_dlc_DocId xmlns="4bd63098-0c83-43cf-abdd-085f2cc55a51">YWEQ7USXTMD7-3-13895</_dlc_DocId>
    <_dlc_DocIdUrl xmlns="4bd63098-0c83-43cf-abdd-085f2cc55a51">
      <Url>https://internal.wecc.org/_layouts/15/DocIdRedir.aspx?ID=YWEQ7USXTMD7-3-13895</Url>
      <Description>YWEQ7USXTMD7-3-13895</Description>
    </_dlc_DocIdUrl>
    <Jurisdiction xmlns="2fb8a92a-9032-49d6-b983-191f0a73b01f"/>
    <Standard_x0020_Family xmlns="2fb8a92a-9032-49d6-b983-191f0a73b01f">BAL</Standard_x0020_Family>
    <Other_x0020_Reliability_x0020_Documents xmlns="2fb8a92a-9032-49d6-b983-191f0a73b01f" xsi:nil="tru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D1972186-CC6F-4144-931D-025C06A70CAF}">
  <ds:schemaRefs>
    <ds:schemaRef ds:uri="http://schemas.openxmlformats.org/officeDocument/2006/bibliography"/>
  </ds:schemaRefs>
</ds:datastoreItem>
</file>

<file path=customXml/itemProps2.xml><?xml version="1.0" encoding="utf-8"?>
<ds:datastoreItem xmlns:ds="http://schemas.openxmlformats.org/officeDocument/2006/customXml" ds:itemID="{604FD58A-81C5-4405-9956-A3A4E51F1A20}"/>
</file>

<file path=customXml/itemProps3.xml><?xml version="1.0" encoding="utf-8"?>
<ds:datastoreItem xmlns:ds="http://schemas.openxmlformats.org/officeDocument/2006/customXml" ds:itemID="{1ABBF6B0-5BBA-4A00-9095-BB0DCB4AE7CE}"/>
</file>

<file path=customXml/itemProps4.xml><?xml version="1.0" encoding="utf-8"?>
<ds:datastoreItem xmlns:ds="http://schemas.openxmlformats.org/officeDocument/2006/customXml" ds:itemID="{CBF8B197-3E82-489B-AC8B-12B1ECC0BD21}"/>
</file>

<file path=customXml/itemProps5.xml><?xml version="1.0" encoding="utf-8"?>
<ds:datastoreItem xmlns:ds="http://schemas.openxmlformats.org/officeDocument/2006/customXml" ds:itemID="{CAA7A411-C620-4E9A-98FF-8F10E1BEBCE3}"/>
</file>

<file path=docProps/app.xml><?xml version="1.0" encoding="utf-8"?>
<Properties xmlns="http://schemas.openxmlformats.org/officeDocument/2006/extended-properties" xmlns:vt="http://schemas.openxmlformats.org/officeDocument/2006/docPropsVTypes">
  <Template>Normal</Template>
  <TotalTime>9</TotalTime>
  <Pages>5</Pages>
  <Words>1207</Words>
  <Characters>6882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WECC-0147 BAL-004-WECC-4 ATEC - Attachment A - SAR WECC-0147</dc:title>
  <dc:subject/>
  <dc:creator>Coleman, Chad</dc:creator>
  <cp:keywords>NERCFilings; WECC-0147; NERC Filings</cp:keywords>
  <dc:description/>
  <cp:lastModifiedBy>Black, Shannon</cp:lastModifiedBy>
  <cp:revision>2</cp:revision>
  <cp:lastPrinted>2021-11-23T23:04:00Z</cp:lastPrinted>
  <dcterms:created xsi:type="dcterms:W3CDTF">2024-03-19T19:57:00Z</dcterms:created>
  <dcterms:modified xsi:type="dcterms:W3CDTF">2024-03-19T19:57:00Z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15d75e2d,3afa5d7a,208dfd2c</vt:lpwstr>
  </property>
  <property fmtid="{D5CDD505-2E9C-101B-9397-08002B2CF9AE}" pid="3" name="ClassificationContentMarkingHeaderFontProps">
    <vt:lpwstr>#000000,10,Calibri</vt:lpwstr>
  </property>
  <property fmtid="{D5CDD505-2E9C-101B-9397-08002B2CF9AE}" pid="4" name="ClassificationContentMarkingHeaderText">
    <vt:lpwstr>&lt;Public&gt;</vt:lpwstr>
  </property>
  <property fmtid="{D5CDD505-2E9C-101B-9397-08002B2CF9AE}" pid="5" name="MSIP_Label_878e9819-3d07-47f7-9697-834686d925a0_Enabled">
    <vt:lpwstr>true</vt:lpwstr>
  </property>
  <property fmtid="{D5CDD505-2E9C-101B-9397-08002B2CF9AE}" pid="6" name="MSIP_Label_878e9819-3d07-47f7-9697-834686d925a0_SetDate">
    <vt:lpwstr>2024-02-27T17:52:05Z</vt:lpwstr>
  </property>
  <property fmtid="{D5CDD505-2E9C-101B-9397-08002B2CF9AE}" pid="7" name="MSIP_Label_878e9819-3d07-47f7-9697-834686d925a0_Method">
    <vt:lpwstr>Privileged</vt:lpwstr>
  </property>
  <property fmtid="{D5CDD505-2E9C-101B-9397-08002B2CF9AE}" pid="8" name="MSIP_Label_878e9819-3d07-47f7-9697-834686d925a0_Name">
    <vt:lpwstr>Public</vt:lpwstr>
  </property>
  <property fmtid="{D5CDD505-2E9C-101B-9397-08002B2CF9AE}" pid="9" name="MSIP_Label_878e9819-3d07-47f7-9697-834686d925a0_SiteId">
    <vt:lpwstr>fd6f305d-c929-4e10-9d46-2e7058aae5e6</vt:lpwstr>
  </property>
  <property fmtid="{D5CDD505-2E9C-101B-9397-08002B2CF9AE}" pid="10" name="MSIP_Label_878e9819-3d07-47f7-9697-834686d925a0_ActionId">
    <vt:lpwstr>2a8d362e-a905-4b40-8f4d-39086f06a278</vt:lpwstr>
  </property>
  <property fmtid="{D5CDD505-2E9C-101B-9397-08002B2CF9AE}" pid="11" name="MSIP_Label_878e9819-3d07-47f7-9697-834686d925a0_ContentBits">
    <vt:lpwstr>1</vt:lpwstr>
  </property>
  <property fmtid="{D5CDD505-2E9C-101B-9397-08002B2CF9AE}" pid="12" name="ContentTypeId">
    <vt:lpwstr>0x010100E45EF0F8AAA65E428351BA36F1B645BE1200CA280BBE04EF434C8DECBE67FD58A074</vt:lpwstr>
  </property>
  <property fmtid="{D5CDD505-2E9C-101B-9397-08002B2CF9AE}" pid="13" name="_dlc_DocIdItemGuid">
    <vt:lpwstr>a0ecafb7-69d3-425b-a4f2-b77d74e92c79</vt:lpwstr>
  </property>
  <property fmtid="{D5CDD505-2E9C-101B-9397-08002B2CF9AE}" pid="14" name="TaxKeyword">
    <vt:lpwstr>2218;#WECC-0147|2233aa4a-1871-4678-86da-664623b26f51;#2419;#NERCFilings|0e89d8f0-e018-45cc-b5bf-f537405b2363;#1539;#NERC Filings|38da0236-f1a7-4cb0-b512-0acfdf6fb813</vt:lpwstr>
  </property>
</Properties>
</file>