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09E0" w14:textId="77777777" w:rsidR="00630D70" w:rsidRPr="00630D70" w:rsidRDefault="00630D70" w:rsidP="00EC1242">
      <w:pPr>
        <w:pStyle w:val="Normal2"/>
      </w:pPr>
    </w:p>
    <w:p w14:paraId="4CA5C724" w14:textId="2A066A27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D94F6F">
          <w:rPr>
            <w:rStyle w:val="Hyperlink"/>
            <w:sz w:val="20"/>
            <w:szCs w:val="21"/>
          </w:rPr>
          <w:t>l</w:t>
        </w:r>
        <w:r w:rsidR="00103EBC" w:rsidRPr="00D94F6F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D94F6F" w:rsidRPr="00104AAF">
        <w:rPr>
          <w:sz w:val="20"/>
          <w:szCs w:val="21"/>
        </w:rPr>
        <w:t>2467 283 0243</w:t>
      </w:r>
    </w:p>
    <w:p w14:paraId="79422738" w14:textId="070C39E5" w:rsidR="00F44D2B" w:rsidRPr="00C23889" w:rsidRDefault="00F44D2B" w:rsidP="00F44D2B">
      <w:pPr>
        <w:pStyle w:val="Heading1"/>
      </w:pPr>
      <w:r>
        <w:t xml:space="preserve">August </w:t>
      </w:r>
      <w:r>
        <w:t>24</w:t>
      </w:r>
      <w:r>
        <w:t>, 2022, 9:00 a.m. to 1</w:t>
      </w:r>
      <w:r>
        <w:t>0</w:t>
      </w:r>
      <w:r>
        <w:t>:</w:t>
      </w:r>
      <w:r>
        <w:t>3</w:t>
      </w:r>
      <w:r>
        <w:t>0 a.m.</w:t>
      </w:r>
      <w:r>
        <w:t xml:space="preserve"> MT</w:t>
      </w:r>
    </w:p>
    <w:p w14:paraId="333AF579" w14:textId="3DE4DDB1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5F62E3">
        <w:t>Jamie Austin</w:t>
      </w:r>
      <w:r w:rsidR="003C3310" w:rsidRPr="00630D70">
        <w:t xml:space="preserve"> </w:t>
      </w:r>
    </w:p>
    <w:p w14:paraId="77E7EC9C" w14:textId="28226377" w:rsidR="00696EE9" w:rsidRPr="00630D70" w:rsidRDefault="00103EBC" w:rsidP="00EB1FD3">
      <w:pPr>
        <w:pStyle w:val="Heading2"/>
      </w:pPr>
      <w:r w:rsidRPr="00630D70">
        <w:t>Review WECC Antitrust Policy—</w:t>
      </w:r>
      <w:r w:rsidR="005F62E3">
        <w:t>Tyler Butikofer</w:t>
      </w:r>
    </w:p>
    <w:p w14:paraId="176D0BB8" w14:textId="77777777" w:rsidR="00CE241A" w:rsidRPr="00EC1242" w:rsidRDefault="00D94F6F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4D674CD0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FA9F88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4BBEFA7A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789C058A" w14:textId="77777777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103A91">
        <w:t>&lt;&lt;</w:t>
      </w:r>
      <w:r w:rsidR="00EB4F0A">
        <w:t>Month, DD, YYYY</w:t>
      </w:r>
      <w:r w:rsidR="0085714C">
        <w:t>&gt;&gt;</w:t>
      </w:r>
      <w:r w:rsidR="00EB4F0A">
        <w:t>,</w:t>
      </w:r>
      <w:r w:rsidR="0085714C">
        <w:t xml:space="preserve"> minutes</w:t>
      </w:r>
      <w:r w:rsidRPr="00103A91">
        <w:tab/>
      </w:r>
    </w:p>
    <w:p w14:paraId="12F07CDA" w14:textId="47F1A2A0" w:rsidR="00751239" w:rsidRPr="00630D70" w:rsidRDefault="00F44D2B" w:rsidP="00EB1FD3">
      <w:pPr>
        <w:pStyle w:val="Heading2"/>
      </w:pPr>
      <w:r>
        <w:t>Review Results of 2032 ADS PCM V2.0</w:t>
      </w:r>
      <w:r w:rsidR="004233A2" w:rsidRPr="00630D70">
        <w:t>—</w:t>
      </w:r>
      <w:r>
        <w:t>Tyler Butikofer, Jon Jensen, Jamie Austin (30 minutes)</w:t>
      </w:r>
    </w:p>
    <w:p w14:paraId="4C0D75A5" w14:textId="14FBE9E9" w:rsidR="00384C9D" w:rsidRDefault="00384C9D" w:rsidP="00EB1FD3">
      <w:pPr>
        <w:pStyle w:val="Heading2"/>
      </w:pPr>
      <w:r>
        <w:t>Export Hour of PF Case—Nick Hatton, Bharat, Jin (</w:t>
      </w:r>
      <w:r w:rsidR="00D608BD">
        <w:t>3</w:t>
      </w:r>
      <w:r>
        <w:t>0 minutes)</w:t>
      </w:r>
    </w:p>
    <w:p w14:paraId="03E4079C" w14:textId="3D02BF01" w:rsidR="00384C9D" w:rsidRDefault="00384C9D" w:rsidP="00384C9D">
      <w:pPr>
        <w:pStyle w:val="Normal2"/>
      </w:pPr>
      <w:r>
        <w:t>Status update</w:t>
      </w:r>
    </w:p>
    <w:p w14:paraId="2D666A3F" w14:textId="6770607E" w:rsidR="00384C9D" w:rsidRDefault="00384C9D" w:rsidP="00384C9D">
      <w:pPr>
        <w:pStyle w:val="Normal2"/>
      </w:pPr>
      <w:r>
        <w:t>Generation in the reference PF</w:t>
      </w:r>
      <w:r w:rsidR="00D608BD">
        <w:t xml:space="preserve"> exceeding what is in the L&amp;R and PCM</w:t>
      </w:r>
    </w:p>
    <w:p w14:paraId="5D32C1C0" w14:textId="478A7734" w:rsidR="00D608BD" w:rsidRPr="00384C9D" w:rsidRDefault="00D608BD" w:rsidP="00384C9D">
      <w:pPr>
        <w:pStyle w:val="Normal2"/>
      </w:pPr>
      <w:r>
        <w:t>Next Steps</w:t>
      </w:r>
    </w:p>
    <w:p w14:paraId="30F40ED9" w14:textId="755B5A1B" w:rsidR="00F44D2B" w:rsidRDefault="00F44D2B" w:rsidP="00EB1FD3">
      <w:pPr>
        <w:pStyle w:val="Heading2"/>
      </w:pPr>
      <w:r>
        <w:t>Process Moving Forward—Jon Jensen, Tyler Butikofer</w:t>
      </w:r>
      <w:r w:rsidR="00D608BD">
        <w:t xml:space="preserve"> (10 minutes)</w:t>
      </w:r>
    </w:p>
    <w:p w14:paraId="270ECD14" w14:textId="5054EDD3" w:rsidR="00F44D2B" w:rsidRDefault="00384C9D" w:rsidP="00F44D2B">
      <w:pPr>
        <w:pStyle w:val="Normal2"/>
      </w:pPr>
      <w:r>
        <w:t>Parking lot list</w:t>
      </w:r>
    </w:p>
    <w:p w14:paraId="38430C18" w14:textId="653489FF" w:rsidR="00F44D2B" w:rsidRDefault="00F44D2B" w:rsidP="00F44D2B">
      <w:pPr>
        <w:pStyle w:val="Normal2"/>
      </w:pPr>
      <w:r>
        <w:t>How will we handle changes going forward?</w:t>
      </w:r>
    </w:p>
    <w:p w14:paraId="2B9EED61" w14:textId="72B727CB" w:rsidR="00384C9D" w:rsidRPr="00F44D2B" w:rsidRDefault="00384C9D" w:rsidP="00F44D2B">
      <w:pPr>
        <w:pStyle w:val="Normal2"/>
      </w:pPr>
      <w:r>
        <w:t xml:space="preserve">ADS Documentation, </w:t>
      </w:r>
      <w:proofErr w:type="gramStart"/>
      <w:r>
        <w:t>i.e.</w:t>
      </w:r>
      <w:proofErr w:type="gramEnd"/>
      <w:r>
        <w:t xml:space="preserve"> DDVM, etc.</w:t>
      </w:r>
    </w:p>
    <w:p w14:paraId="78AC4E6D" w14:textId="6784A9BB" w:rsidR="00F44D2B" w:rsidRDefault="00F44D2B" w:rsidP="00EB1FD3">
      <w:pPr>
        <w:pStyle w:val="Heading2"/>
      </w:pPr>
      <w:r>
        <w:t>Start Time—Jamie Austin</w:t>
      </w:r>
      <w:r w:rsidR="00D608BD">
        <w:t xml:space="preserve"> (5 minutes)</w:t>
      </w:r>
    </w:p>
    <w:p w14:paraId="2E7D2FA7" w14:textId="3D6F7358" w:rsidR="00F44D2B" w:rsidRPr="00F44D2B" w:rsidRDefault="00F44D2B" w:rsidP="00F44D2B">
      <w:pPr>
        <w:pStyle w:val="Normal2"/>
      </w:pPr>
      <w:r>
        <w:t>Start meeting at 10:00 am MT instead of 9:00 am MT</w:t>
      </w:r>
    </w:p>
    <w:p w14:paraId="41BCAB9D" w14:textId="58E8DE7D" w:rsidR="00435825" w:rsidRDefault="004233A2" w:rsidP="00EB1FD3">
      <w:pPr>
        <w:pStyle w:val="Heading2"/>
      </w:pPr>
      <w:r w:rsidRPr="00630D70">
        <w:t>Public Comment</w:t>
      </w:r>
    </w:p>
    <w:p w14:paraId="7E108CD5" w14:textId="32E55D62" w:rsidR="00C21249" w:rsidRPr="00630D70" w:rsidRDefault="00C21249" w:rsidP="00C21249">
      <w:pPr>
        <w:pStyle w:val="Heading2"/>
      </w:pPr>
      <w:r w:rsidRPr="00630D70">
        <w:lastRenderedPageBreak/>
        <w:t xml:space="preserve">Review </w:t>
      </w:r>
      <w:r w:rsidR="005F62E3">
        <w:t xml:space="preserve">Previous and </w:t>
      </w:r>
      <w:r w:rsidRPr="00630D70">
        <w:t xml:space="preserve">New Action Items </w:t>
      </w:r>
    </w:p>
    <w:p w14:paraId="5BF7CFAC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34C13DF0" w14:textId="77777777" w:rsidR="005F62E3" w:rsidRPr="007E1C93" w:rsidRDefault="005F62E3" w:rsidP="005F62E3">
      <w:pPr>
        <w:pStyle w:val="MeetingswLeader"/>
      </w:pPr>
      <w:r>
        <w:t xml:space="preserve">September 7, </w:t>
      </w:r>
      <w:proofErr w:type="gramStart"/>
      <w:r>
        <w:t>2022</w:t>
      </w:r>
      <w:proofErr w:type="gramEnd"/>
      <w:r w:rsidRPr="007E1C93">
        <w:tab/>
      </w:r>
      <w:r>
        <w:t>Virtual</w:t>
      </w:r>
    </w:p>
    <w:p w14:paraId="5849B43E" w14:textId="77777777" w:rsidR="005F62E3" w:rsidRDefault="005F62E3" w:rsidP="005F62E3">
      <w:pPr>
        <w:pStyle w:val="MeetingswLeader"/>
      </w:pPr>
      <w:r>
        <w:t xml:space="preserve">September 14, </w:t>
      </w:r>
      <w:proofErr w:type="gramStart"/>
      <w:r>
        <w:t>2022</w:t>
      </w:r>
      <w:proofErr w:type="gramEnd"/>
      <w:r w:rsidRPr="00630D70">
        <w:tab/>
      </w:r>
      <w:r>
        <w:t>Virtual</w:t>
      </w:r>
    </w:p>
    <w:p w14:paraId="37BC8BFB" w14:textId="2368A199" w:rsidR="005F62E3" w:rsidRDefault="005F62E3" w:rsidP="005F62E3">
      <w:pPr>
        <w:pStyle w:val="MeetingswLeader"/>
      </w:pPr>
      <w:r>
        <w:t xml:space="preserve">September </w:t>
      </w:r>
      <w:r>
        <w:t>21</w:t>
      </w:r>
      <w:r>
        <w:t xml:space="preserve">, </w:t>
      </w:r>
      <w:proofErr w:type="gramStart"/>
      <w:r>
        <w:t>2022</w:t>
      </w:r>
      <w:proofErr w:type="gramEnd"/>
      <w:r w:rsidRPr="00630D70">
        <w:tab/>
      </w:r>
      <w:r>
        <w:t>Virtual</w:t>
      </w:r>
    </w:p>
    <w:p w14:paraId="1ABEE976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290F1B5A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29A5" w14:textId="77777777" w:rsidR="00F44D2B" w:rsidRDefault="00F44D2B" w:rsidP="00C23889">
      <w:r>
        <w:separator/>
      </w:r>
    </w:p>
  </w:endnote>
  <w:endnote w:type="continuationSeparator" w:id="0">
    <w:p w14:paraId="4558FDBF" w14:textId="77777777" w:rsidR="00F44D2B" w:rsidRDefault="00F44D2B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46D4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0839E7DF" wp14:editId="30811DA5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69D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D535996" wp14:editId="41A0A702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0A1C" w14:textId="77777777" w:rsidR="00F44D2B" w:rsidRDefault="00F44D2B" w:rsidP="00C23889">
      <w:r>
        <w:separator/>
      </w:r>
    </w:p>
  </w:footnote>
  <w:footnote w:type="continuationSeparator" w:id="0">
    <w:p w14:paraId="7F54C674" w14:textId="77777777" w:rsidR="00F44D2B" w:rsidRDefault="00F44D2B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4FD" w14:textId="573F13DF" w:rsidR="00D6188A" w:rsidRPr="00D94F6F" w:rsidRDefault="00D94F6F" w:rsidP="00D94F6F">
    <w:pPr>
      <w:pStyle w:val="Header"/>
      <w:jc w:val="right"/>
    </w:pPr>
    <w:r>
      <w:t>PCDS</w:t>
    </w:r>
    <w:r w:rsidRPr="005979D5">
      <w:t xml:space="preserve"> Meeting Agenda</w:t>
    </w:r>
    <w:r>
      <w:t xml:space="preserve">—August </w:t>
    </w:r>
    <w:r>
      <w:t>24</w:t>
    </w:r>
    <w: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C74D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5B0F4B" wp14:editId="14668D9C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92FD7" w14:textId="77777777" w:rsidR="005F62E3" w:rsidRPr="0008635F" w:rsidRDefault="005F62E3" w:rsidP="005F62E3">
    <w:pPr>
      <w:pStyle w:val="PG1Header"/>
    </w:pPr>
    <w:r>
      <w:t xml:space="preserve">Production Cost Data Subcommittee </w:t>
    </w:r>
  </w:p>
  <w:p w14:paraId="275D289F" w14:textId="77777777" w:rsidR="005F62E3" w:rsidRPr="0008635F" w:rsidRDefault="005F62E3" w:rsidP="005F62E3">
    <w:pPr>
      <w:pStyle w:val="PG1Header"/>
    </w:pPr>
    <w:r>
      <w:t>Meeting Agenda</w:t>
    </w:r>
  </w:p>
  <w:p w14:paraId="065E4D80" w14:textId="78648056" w:rsidR="00C23889" w:rsidRPr="0008635F" w:rsidRDefault="005F62E3" w:rsidP="005F62E3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2053113030">
    <w:abstractNumId w:val="11"/>
  </w:num>
  <w:num w:numId="2" w16cid:durableId="1171287829">
    <w:abstractNumId w:val="10"/>
  </w:num>
  <w:num w:numId="3" w16cid:durableId="424498845">
    <w:abstractNumId w:val="9"/>
  </w:num>
  <w:num w:numId="4" w16cid:durableId="1381630919">
    <w:abstractNumId w:val="7"/>
  </w:num>
  <w:num w:numId="5" w16cid:durableId="1342658421">
    <w:abstractNumId w:val="6"/>
  </w:num>
  <w:num w:numId="6" w16cid:durableId="1359240552">
    <w:abstractNumId w:val="5"/>
  </w:num>
  <w:num w:numId="7" w16cid:durableId="479619716">
    <w:abstractNumId w:val="4"/>
  </w:num>
  <w:num w:numId="8" w16cid:durableId="460457993">
    <w:abstractNumId w:val="8"/>
  </w:num>
  <w:num w:numId="9" w16cid:durableId="1648704961">
    <w:abstractNumId w:val="3"/>
  </w:num>
  <w:num w:numId="10" w16cid:durableId="668562432">
    <w:abstractNumId w:val="2"/>
  </w:num>
  <w:num w:numId="11" w16cid:durableId="324626188">
    <w:abstractNumId w:val="1"/>
  </w:num>
  <w:num w:numId="12" w16cid:durableId="1420252523">
    <w:abstractNumId w:val="0"/>
  </w:num>
  <w:num w:numId="13" w16cid:durableId="1361397559">
    <w:abstractNumId w:val="20"/>
  </w:num>
  <w:num w:numId="14" w16cid:durableId="523520661">
    <w:abstractNumId w:val="22"/>
  </w:num>
  <w:num w:numId="15" w16cid:durableId="586773116">
    <w:abstractNumId w:val="13"/>
  </w:num>
  <w:num w:numId="16" w16cid:durableId="306208775">
    <w:abstractNumId w:val="18"/>
  </w:num>
  <w:num w:numId="17" w16cid:durableId="135534849">
    <w:abstractNumId w:val="19"/>
  </w:num>
  <w:num w:numId="18" w16cid:durableId="1254703903">
    <w:abstractNumId w:val="16"/>
  </w:num>
  <w:num w:numId="19" w16cid:durableId="1145007152">
    <w:abstractNumId w:val="14"/>
  </w:num>
  <w:num w:numId="20" w16cid:durableId="7024119">
    <w:abstractNumId w:val="23"/>
  </w:num>
  <w:num w:numId="21" w16cid:durableId="942302539">
    <w:abstractNumId w:val="15"/>
  </w:num>
  <w:num w:numId="22" w16cid:durableId="270170960">
    <w:abstractNumId w:val="17"/>
  </w:num>
  <w:num w:numId="23" w16cid:durableId="1140655265">
    <w:abstractNumId w:val="24"/>
  </w:num>
  <w:num w:numId="24" w16cid:durableId="964501375">
    <w:abstractNumId w:val="21"/>
  </w:num>
  <w:num w:numId="25" w16cid:durableId="1283731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F44D2B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84C9D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B150A"/>
    <w:rsid w:val="005D0871"/>
    <w:rsid w:val="005D4224"/>
    <w:rsid w:val="005D578E"/>
    <w:rsid w:val="005D587A"/>
    <w:rsid w:val="005E2E42"/>
    <w:rsid w:val="005F62E3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C0EC1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08BD"/>
    <w:rsid w:val="00D6188A"/>
    <w:rsid w:val="00D6235D"/>
    <w:rsid w:val="00D64360"/>
    <w:rsid w:val="00D87F9C"/>
    <w:rsid w:val="00D94F6F"/>
    <w:rsid w:val="00DA20F0"/>
    <w:rsid w:val="00DA3935"/>
    <w:rsid w:val="00DC0A3B"/>
    <w:rsid w:val="00DC5D77"/>
    <w:rsid w:val="00DD09FF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44D2B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6F01"/>
  <w15:docId w15:val="{885BB84C-2837-4EC4-99A3-C139388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D9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Lists/WECCMeetings/DispForm.aspx?ID=16358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16358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YWEQ7USXTMD7-11-22245</_dlc_DocId>
    <_dlc_DocIdUrl xmlns="4bd63098-0c83-43cf-abdd-085f2cc55a51">
      <Url>https://internal.wecc.org/_layouts/15/DocIdRedir.aspx?ID=YWEQ7USXTMD7-11-22245</Url>
      <Description>YWEQ7USXTMD7-11-22245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2024-08-18T15:57:39+00:00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4CF1C-583D-401B-B40C-6F5CA3249D7C}"/>
</file>

<file path=customXml/itemProps3.xml><?xml version="1.0" encoding="utf-8"?>
<ds:datastoreItem xmlns:ds="http://schemas.openxmlformats.org/officeDocument/2006/customXml" ds:itemID="{E65177A9-408C-4250-B76A-64D7EED65F53}"/>
</file>

<file path=customXml/itemProps4.xml><?xml version="1.0" encoding="utf-8"?>
<ds:datastoreItem xmlns:ds="http://schemas.openxmlformats.org/officeDocument/2006/customXml" ds:itemID="{EAC50563-59DE-418D-B30D-6368F25C6D8D}"/>
</file>

<file path=customXml/itemProps5.xml><?xml version="1.0" encoding="utf-8"?>
<ds:datastoreItem xmlns:ds="http://schemas.openxmlformats.org/officeDocument/2006/customXml" ds:itemID="{303EE278-3A41-47E8-BC07-56F69B25AAB5}"/>
</file>

<file path=customXml/itemProps6.xml><?xml version="1.0" encoding="utf-8"?>
<ds:datastoreItem xmlns:ds="http://schemas.openxmlformats.org/officeDocument/2006/customXml" ds:itemID="{CECF7406-FC01-41A8-8F23-7E6F82FD6CA3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2022-08-24 PCDS Agenda</dc:title>
  <dc:creator>Butikofer, Tyler</dc:creator>
  <cp:lastModifiedBy>Butikofer, Tyler</cp:lastModifiedBy>
  <cp:revision>1</cp:revision>
  <cp:lastPrinted>2019-01-04T21:28:00Z</cp:lastPrinted>
  <dcterms:created xsi:type="dcterms:W3CDTF">2022-08-17T21:31:00Z</dcterms:created>
  <dcterms:modified xsi:type="dcterms:W3CDTF">2022-08-17T21:54:00Z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4176e4f7-19b6-4b2f-b288-cf56a466ba93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