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FE7A" w14:textId="4E05EB7A" w:rsidR="00E97E61" w:rsidRDefault="00E97E61" w:rsidP="00B816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AB4230" w14:paraId="2767DA14" w14:textId="77777777" w:rsidTr="000D70F2">
        <w:trPr>
          <w:tblHeader/>
        </w:trPr>
        <w:tc>
          <w:tcPr>
            <w:tcW w:w="2155" w:type="dxa"/>
          </w:tcPr>
          <w:p w14:paraId="14DB55CD" w14:textId="1C6D65F2" w:rsidR="00AB4230" w:rsidRPr="00861BC7" w:rsidRDefault="00861BC7" w:rsidP="00B81690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3D775E42" w14:textId="48FC2DF8" w:rsidR="00AB4230" w:rsidRPr="00861BC7" w:rsidRDefault="00861BC7" w:rsidP="00B81690">
            <w:pPr>
              <w:rPr>
                <w:b/>
              </w:rPr>
            </w:pPr>
            <w:r w:rsidRPr="00861BC7">
              <w:rPr>
                <w:b/>
              </w:rPr>
              <w:t>Electric Vehicle Market Penetration</w:t>
            </w:r>
          </w:p>
        </w:tc>
      </w:tr>
      <w:tr w:rsidR="00AB4230" w14:paraId="29B23C53" w14:textId="77777777" w:rsidTr="00AB4230">
        <w:tc>
          <w:tcPr>
            <w:tcW w:w="2155" w:type="dxa"/>
          </w:tcPr>
          <w:p w14:paraId="5625EB69" w14:textId="0C1A0E22" w:rsidR="00AB4230" w:rsidRDefault="00861BC7" w:rsidP="00B81690">
            <w:r>
              <w:t>Key Reliability Question</w:t>
            </w:r>
          </w:p>
        </w:tc>
        <w:tc>
          <w:tcPr>
            <w:tcW w:w="7915" w:type="dxa"/>
          </w:tcPr>
          <w:p w14:paraId="1763D09E" w14:textId="77777777" w:rsidR="00861BC7" w:rsidRPr="00861BC7" w:rsidRDefault="00861BC7" w:rsidP="00861BC7">
            <w:r w:rsidRPr="00861BC7">
              <w:t>Do high market penetration levels (e.g., 10%, 25%, 50%) of electric vehicles create potential reliability risks or potential reliability enhancements for the Western Interconnection in year 2028 and in year 2038?</w:t>
            </w:r>
          </w:p>
          <w:p w14:paraId="6B46F884" w14:textId="77777777" w:rsidR="00861BC7" w:rsidRPr="00861BC7" w:rsidRDefault="00861BC7" w:rsidP="00861BC7">
            <w:pPr>
              <w:pStyle w:val="ListBullet"/>
            </w:pPr>
            <w:r w:rsidRPr="00861BC7">
              <w:t xml:space="preserve">Would it be necessary to develop and implement retail rate schedules that provide incentives/disincentives to charge at </w:t>
            </w:r>
            <w:proofErr w:type="gramStart"/>
            <w:r w:rsidRPr="00861BC7">
              <w:t>particular times</w:t>
            </w:r>
            <w:proofErr w:type="gramEnd"/>
            <w:r w:rsidRPr="00861BC7">
              <w:t xml:space="preserve"> on particular days (e.g., to charge between 10:00 am and 2:00 pm on weekends)?</w:t>
            </w:r>
          </w:p>
          <w:p w14:paraId="1CB8C5DC" w14:textId="77777777" w:rsidR="00861BC7" w:rsidRPr="00861BC7" w:rsidRDefault="00861BC7" w:rsidP="00861BC7">
            <w:pPr>
              <w:pStyle w:val="ListBullet"/>
            </w:pPr>
            <w:r w:rsidRPr="00861BC7">
              <w:t>Is there an opportunity for distributed electric vehicles to provide retail and/or wholesale services at the transmission and/or distribution levels, (e.g., customer demand charge management, distribution deferral services, wholesale energy supply, wholesale ancillary services)?</w:t>
            </w:r>
          </w:p>
          <w:p w14:paraId="778B3D98" w14:textId="77777777" w:rsidR="00861BC7" w:rsidRPr="00861BC7" w:rsidRDefault="00861BC7" w:rsidP="00861BC7">
            <w:pPr>
              <w:pStyle w:val="ListBullet"/>
            </w:pPr>
            <w:r w:rsidRPr="00861BC7">
              <w:t>What would be the impacts on load and in which portions of the WECC would these impacts be most significant?</w:t>
            </w:r>
          </w:p>
          <w:p w14:paraId="33C6E4A9" w14:textId="77777777" w:rsidR="00861BC7" w:rsidRPr="00861BC7" w:rsidRDefault="00861BC7" w:rsidP="00861BC7">
            <w:pPr>
              <w:pStyle w:val="ListBullet"/>
            </w:pPr>
            <w:r w:rsidRPr="00861BC7">
              <w:t>How would this affect power factors?</w:t>
            </w:r>
          </w:p>
          <w:p w14:paraId="703EE55C" w14:textId="77777777" w:rsidR="00861BC7" w:rsidRPr="00861BC7" w:rsidRDefault="00861BC7" w:rsidP="00861BC7">
            <w:pPr>
              <w:pStyle w:val="ListBullet"/>
            </w:pPr>
            <w:r w:rsidRPr="00861BC7">
              <w:t>Is the existing composite load model capable of capturing the dynamic effects of large scale electric vehicle charging and discharging?</w:t>
            </w:r>
          </w:p>
          <w:p w14:paraId="37F1DC94" w14:textId="77777777" w:rsidR="00861BC7" w:rsidRPr="00861BC7" w:rsidRDefault="00861BC7" w:rsidP="00861BC7">
            <w:pPr>
              <w:pStyle w:val="ListBullet"/>
            </w:pPr>
            <w:r w:rsidRPr="00861BC7">
              <w:t>What regulatory issues could arise, e.g., TOU rates?</w:t>
            </w:r>
          </w:p>
          <w:p w14:paraId="54A7F1CE" w14:textId="77777777" w:rsidR="00861BC7" w:rsidRPr="00861BC7" w:rsidRDefault="00861BC7" w:rsidP="00861BC7">
            <w:pPr>
              <w:pStyle w:val="ListBullet"/>
            </w:pPr>
            <w:r w:rsidRPr="00861BC7">
              <w:t>How would these levels of penetration affect transmission system utilization?</w:t>
            </w:r>
          </w:p>
          <w:p w14:paraId="07C4F330" w14:textId="49F45615" w:rsidR="00AB4230" w:rsidRDefault="00861BC7" w:rsidP="00861BC7">
            <w:pPr>
              <w:pStyle w:val="ListBullet"/>
            </w:pPr>
            <w:r w:rsidRPr="00861BC7">
              <w:t>What forms of congestion relief would be available?</w:t>
            </w:r>
          </w:p>
        </w:tc>
      </w:tr>
      <w:tr w:rsidR="00861BC7" w14:paraId="569B57DF" w14:textId="77777777" w:rsidTr="00AB4230">
        <w:tc>
          <w:tcPr>
            <w:tcW w:w="2155" w:type="dxa"/>
          </w:tcPr>
          <w:p w14:paraId="685360F0" w14:textId="2AF8176C" w:rsidR="00861BC7" w:rsidRDefault="00861BC7" w:rsidP="00B81690">
            <w:r>
              <w:t>Relationship to WECC Near-Term Priorities (NTP)</w:t>
            </w:r>
          </w:p>
        </w:tc>
        <w:tc>
          <w:tcPr>
            <w:tcW w:w="7915" w:type="dxa"/>
          </w:tcPr>
          <w:p w14:paraId="634A3FA4" w14:textId="77777777" w:rsidR="00DF6A27" w:rsidRDefault="00861BC7" w:rsidP="00B81690">
            <w:r>
              <w:t>NTP #2: Impacts of the Changing Resource Mix:</w:t>
            </w:r>
          </w:p>
          <w:p w14:paraId="61BACEC5" w14:textId="788361C2" w:rsidR="00861BC7" w:rsidRDefault="00861BC7" w:rsidP="00DF6A27">
            <w:pPr>
              <w:pStyle w:val="ListBullet"/>
            </w:pPr>
            <w:r>
              <w:t>“The interface between the transmission and distribution systems due to DER, with a focus on modeling techniques that can be used as DER penetration increases”</w:t>
            </w:r>
          </w:p>
        </w:tc>
      </w:tr>
      <w:tr w:rsidR="00861BC7" w14:paraId="4D0D78DF" w14:textId="77777777" w:rsidTr="00AB4230">
        <w:tc>
          <w:tcPr>
            <w:tcW w:w="2155" w:type="dxa"/>
          </w:tcPr>
          <w:p w14:paraId="31BF28F2" w14:textId="55BA78A0" w:rsidR="00861BC7" w:rsidRDefault="00861BC7" w:rsidP="00B81690">
            <w:r>
              <w:t>Relationship to WECC Scenarios</w:t>
            </w:r>
          </w:p>
        </w:tc>
        <w:tc>
          <w:tcPr>
            <w:tcW w:w="7915" w:type="dxa"/>
          </w:tcPr>
          <w:p w14:paraId="0D929FE9" w14:textId="60E2AD45" w:rsidR="00861BC7" w:rsidRDefault="00861BC7" w:rsidP="00B81690">
            <w:r>
              <w:t>Scenario 2: Market-based policy with a high degree of market freedom and customers seeking more energy service options.</w:t>
            </w:r>
          </w:p>
        </w:tc>
      </w:tr>
      <w:tr w:rsidR="00861BC7" w14:paraId="06161C1D" w14:textId="77777777" w:rsidTr="00AB4230">
        <w:tc>
          <w:tcPr>
            <w:tcW w:w="2155" w:type="dxa"/>
          </w:tcPr>
          <w:p w14:paraId="203C53AF" w14:textId="5D434645" w:rsidR="00861BC7" w:rsidRDefault="00861BC7" w:rsidP="00B81690">
            <w:r>
              <w:t>Potential Partners</w:t>
            </w:r>
          </w:p>
        </w:tc>
        <w:tc>
          <w:tcPr>
            <w:tcW w:w="7915" w:type="dxa"/>
          </w:tcPr>
          <w:p w14:paraId="45631B2B" w14:textId="0BF4B5E3" w:rsidR="00861BC7" w:rsidRDefault="00861BC7" w:rsidP="00B81690">
            <w:r>
              <w:t>National Renewable Energy Laboratory (NREL)</w:t>
            </w:r>
            <w:r w:rsidR="000A0A7D">
              <w:t xml:space="preserve">, </w:t>
            </w:r>
            <w:r w:rsidR="000A0A7D">
              <w:rPr>
                <w:rFonts w:eastAsia="Times New Roman"/>
              </w:rPr>
              <w:t>Alliance for Transportation Electrification</w:t>
            </w:r>
            <w:bookmarkStart w:id="0" w:name="_GoBack"/>
            <w:bookmarkEnd w:id="0"/>
          </w:p>
        </w:tc>
      </w:tr>
    </w:tbl>
    <w:p w14:paraId="54278A26" w14:textId="73B25DEC" w:rsidR="00AB4230" w:rsidRDefault="00AB4230" w:rsidP="00B81690"/>
    <w:p w14:paraId="1CCA2BBC" w14:textId="35CE7814" w:rsidR="00861BC7" w:rsidRDefault="00861BC7" w:rsidP="00B816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861BC7" w14:paraId="40E35376" w14:textId="77777777" w:rsidTr="000D70F2">
        <w:trPr>
          <w:tblHeader/>
        </w:trPr>
        <w:tc>
          <w:tcPr>
            <w:tcW w:w="2155" w:type="dxa"/>
          </w:tcPr>
          <w:p w14:paraId="443AD67A" w14:textId="77777777" w:rsidR="00861BC7" w:rsidRPr="00861BC7" w:rsidRDefault="00861BC7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2042E1F6" w14:textId="107BD548" w:rsidR="00861BC7" w:rsidRPr="000D70F2" w:rsidRDefault="00861BC7" w:rsidP="005F5232">
            <w:pPr>
              <w:rPr>
                <w:b/>
              </w:rPr>
            </w:pPr>
            <w:r w:rsidRPr="000D70F2">
              <w:rPr>
                <w:b/>
              </w:rPr>
              <w:t>High Penetration of Renewable Energy to Achieve GHG Reduction Goals</w:t>
            </w:r>
          </w:p>
        </w:tc>
      </w:tr>
      <w:tr w:rsidR="00861BC7" w14:paraId="6581AEAC" w14:textId="77777777" w:rsidTr="005F5232">
        <w:tc>
          <w:tcPr>
            <w:tcW w:w="2155" w:type="dxa"/>
          </w:tcPr>
          <w:p w14:paraId="6C05BF70" w14:textId="77777777" w:rsidR="00861BC7" w:rsidRDefault="00861BC7" w:rsidP="005F5232">
            <w:r>
              <w:t>Key Reliability Question</w:t>
            </w:r>
          </w:p>
        </w:tc>
        <w:tc>
          <w:tcPr>
            <w:tcW w:w="7915" w:type="dxa"/>
          </w:tcPr>
          <w:p w14:paraId="3A83017E" w14:textId="77777777" w:rsidR="00861BC7" w:rsidRDefault="00861BC7" w:rsidP="00861BC7">
            <w:r>
              <w:t xml:space="preserve">Will higher penetration levels of renewable energy to attain GHG reductions goals create reliability issues in the Western Interconnection by 2028 and in 2038? </w:t>
            </w:r>
          </w:p>
          <w:p w14:paraId="4EDD189D" w14:textId="77777777" w:rsidR="00861BC7" w:rsidRDefault="00861BC7" w:rsidP="00861BC7">
            <w:pPr>
              <w:pStyle w:val="ListBullet"/>
            </w:pPr>
            <w:r>
              <w:t xml:space="preserve">How would the reliability issues change if GHG reduction goals apply to the entire Western Interconnection under a federal policy versus a portion of states covering about half of the Western Interconnection? </w:t>
            </w:r>
          </w:p>
          <w:p w14:paraId="130610B6" w14:textId="77777777" w:rsidR="00861BC7" w:rsidRPr="00530E85" w:rsidRDefault="00861BC7" w:rsidP="00861BC7">
            <w:pPr>
              <w:pStyle w:val="ListBullet"/>
            </w:pPr>
            <w:r>
              <w:t>What CO</w:t>
            </w:r>
            <w:r w:rsidRPr="00530E85">
              <w:rPr>
                <w:vertAlign w:val="subscript"/>
              </w:rPr>
              <w:t>2</w:t>
            </w:r>
            <w:r>
              <w:t xml:space="preserve"> price would be needed to attain the GHG policy goal throughout the Western Interconnection, e.g., additional state/provincial carbon prices or a federal carbon price?</w:t>
            </w:r>
          </w:p>
          <w:p w14:paraId="6ABBC924" w14:textId="77777777" w:rsidR="00861BC7" w:rsidRDefault="00861BC7" w:rsidP="00861BC7">
            <w:pPr>
              <w:pStyle w:val="ListBullet"/>
            </w:pPr>
            <w:r>
              <w:t xml:space="preserve">What additional resources can be used to enhance Essential Reliability Services with high penetration levels of renewables (e.g., storage, synchronous </w:t>
            </w:r>
            <w:proofErr w:type="spellStart"/>
            <w:r>
              <w:t>condensors</w:t>
            </w:r>
            <w:proofErr w:type="spellEnd"/>
            <w:r>
              <w:t xml:space="preserve">, </w:t>
            </w:r>
          </w:p>
          <w:p w14:paraId="41205EAB" w14:textId="77777777" w:rsidR="00861BC7" w:rsidRDefault="00861BC7" w:rsidP="00861BC7">
            <w:pPr>
              <w:pStyle w:val="ListBullet"/>
            </w:pPr>
            <w:r>
              <w:t>Which renewable technologies (utility-scale or DER) would be most effective in reducing GHG emissions in the electric sector?</w:t>
            </w:r>
          </w:p>
          <w:p w14:paraId="11DC91E0" w14:textId="77777777" w:rsidR="00861BC7" w:rsidRDefault="00861BC7" w:rsidP="00861BC7">
            <w:pPr>
              <w:pStyle w:val="ListBullet"/>
            </w:pPr>
            <w:r>
              <w:t>Are there GHG reduction strategies in the non-electric sectors that are more cost-effective than GHG reduction in the electric sector (e.g., carbon tax on gasoline and diesel fuel sales, transportation electrification)?</w:t>
            </w:r>
          </w:p>
          <w:p w14:paraId="55D50A5A" w14:textId="77777777" w:rsidR="00861BC7" w:rsidRDefault="00861BC7" w:rsidP="00861BC7">
            <w:pPr>
              <w:pStyle w:val="ListBullet"/>
            </w:pPr>
            <w:r>
              <w:t>How would system inertia be impacted by this assessment?</w:t>
            </w:r>
          </w:p>
          <w:p w14:paraId="68FAFF93" w14:textId="77777777" w:rsidR="00861BC7" w:rsidRDefault="00861BC7" w:rsidP="00861BC7">
            <w:pPr>
              <w:pStyle w:val="ListBullet"/>
              <w:rPr>
                <w:i/>
              </w:rPr>
            </w:pPr>
            <w:r>
              <w:rPr>
                <w:i/>
              </w:rPr>
              <w:t>Are there other technologies (e.g., small-scale nuclear, carbon capture and sequestration) that could achieve CO</w:t>
            </w:r>
            <w:r w:rsidRPr="00193D2D">
              <w:rPr>
                <w:i/>
                <w:vertAlign w:val="subscript"/>
              </w:rPr>
              <w:t>2</w:t>
            </w:r>
            <w:r>
              <w:rPr>
                <w:i/>
              </w:rPr>
              <w:t xml:space="preserve"> level reductions as effectively as increased renewable penetration?</w:t>
            </w:r>
          </w:p>
          <w:p w14:paraId="69D9D9B4" w14:textId="41131878" w:rsidR="00861BC7" w:rsidRPr="00861BC7" w:rsidRDefault="00861BC7" w:rsidP="00861BC7">
            <w:pPr>
              <w:pStyle w:val="ListBullet"/>
            </w:pPr>
            <w:r>
              <w:t>Given existing retirement plans, what is the minimum amount of dispatchable generation in the WECC needed to ensure all reliability standards are met in years 2028 and 2038?</w:t>
            </w:r>
          </w:p>
        </w:tc>
      </w:tr>
      <w:tr w:rsidR="00861BC7" w14:paraId="25678E31" w14:textId="77777777" w:rsidTr="005F5232">
        <w:tc>
          <w:tcPr>
            <w:tcW w:w="2155" w:type="dxa"/>
          </w:tcPr>
          <w:p w14:paraId="3B16E5FC" w14:textId="77777777" w:rsidR="00861BC7" w:rsidRDefault="00861BC7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4BF9C580" w14:textId="77777777" w:rsidR="00DF6A27" w:rsidRDefault="00861BC7" w:rsidP="005F5232">
            <w:r>
              <w:t xml:space="preserve">NTP #2: Impacts of the Changing Resource Mix </w:t>
            </w:r>
          </w:p>
          <w:p w14:paraId="472C0A88" w14:textId="77777777" w:rsidR="00DF6A27" w:rsidRDefault="00861BC7" w:rsidP="00DF6A27">
            <w:pPr>
              <w:pStyle w:val="ListBullet"/>
            </w:pPr>
            <w:r>
              <w:t xml:space="preserve">Resource adequacy; </w:t>
            </w:r>
          </w:p>
          <w:p w14:paraId="0FE57ADD" w14:textId="77777777" w:rsidR="00DF6A27" w:rsidRDefault="00861BC7" w:rsidP="00DF6A27">
            <w:pPr>
              <w:pStyle w:val="ListBullet"/>
            </w:pPr>
            <w:r>
              <w:t xml:space="preserve">Interface of BPS and distribution system; </w:t>
            </w:r>
          </w:p>
          <w:p w14:paraId="7881C4CB" w14:textId="0369A641" w:rsidR="00861BC7" w:rsidRDefault="00861BC7" w:rsidP="00DF6A27">
            <w:pPr>
              <w:pStyle w:val="ListBullet"/>
            </w:pPr>
            <w:r>
              <w:t>Essential reliability services specific to the Western Interconnection</w:t>
            </w:r>
            <w:r w:rsidRPr="009E3618">
              <w:t>.</w:t>
            </w:r>
            <w:r>
              <w:t>”</w:t>
            </w:r>
          </w:p>
        </w:tc>
      </w:tr>
      <w:tr w:rsidR="00861BC7" w14:paraId="0E58C713" w14:textId="77777777" w:rsidTr="005F5232">
        <w:tc>
          <w:tcPr>
            <w:tcW w:w="2155" w:type="dxa"/>
          </w:tcPr>
          <w:p w14:paraId="10C6BDC1" w14:textId="77777777" w:rsidR="00861BC7" w:rsidRDefault="00861BC7" w:rsidP="005F5232">
            <w:r>
              <w:t>Relationship to WECC Scenarios</w:t>
            </w:r>
          </w:p>
        </w:tc>
        <w:tc>
          <w:tcPr>
            <w:tcW w:w="7915" w:type="dxa"/>
          </w:tcPr>
          <w:p w14:paraId="336A4152" w14:textId="38969E4D" w:rsidR="00861BC7" w:rsidRDefault="00861BC7" w:rsidP="005F5232">
            <w:r>
              <w:t xml:space="preserve">Scenario 2: Market-based policy with a high degree of market freedom and customers seeking more energy service options and Scenario 3: policy-directed </w:t>
            </w:r>
            <w:r>
              <w:lastRenderedPageBreak/>
              <w:t>regulation with a low degree of market freedom and customers seeking more energy service options</w:t>
            </w:r>
            <w:r>
              <w:rPr>
                <w:i/>
              </w:rPr>
              <w:t>:</w:t>
            </w:r>
          </w:p>
        </w:tc>
      </w:tr>
      <w:tr w:rsidR="00861BC7" w14:paraId="60BCB841" w14:textId="77777777" w:rsidTr="005F5232">
        <w:tc>
          <w:tcPr>
            <w:tcW w:w="2155" w:type="dxa"/>
          </w:tcPr>
          <w:p w14:paraId="7ED9E709" w14:textId="77777777" w:rsidR="00861BC7" w:rsidRDefault="00861BC7" w:rsidP="005F5232">
            <w:r>
              <w:lastRenderedPageBreak/>
              <w:t>Potential Partners</w:t>
            </w:r>
          </w:p>
        </w:tc>
        <w:tc>
          <w:tcPr>
            <w:tcW w:w="7915" w:type="dxa"/>
          </w:tcPr>
          <w:p w14:paraId="08813AE2" w14:textId="060469D5" w:rsidR="00861BC7" w:rsidRDefault="00861BC7" w:rsidP="005F5232"/>
        </w:tc>
      </w:tr>
    </w:tbl>
    <w:p w14:paraId="73F79C98" w14:textId="1350732F" w:rsidR="00B52DFF" w:rsidRDefault="00B52DFF" w:rsidP="00861BC7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861BC7" w14:paraId="164516BA" w14:textId="77777777" w:rsidTr="000D70F2">
        <w:trPr>
          <w:tblHeader/>
        </w:trPr>
        <w:tc>
          <w:tcPr>
            <w:tcW w:w="2155" w:type="dxa"/>
          </w:tcPr>
          <w:p w14:paraId="23B1788E" w14:textId="77777777" w:rsidR="00861BC7" w:rsidRPr="00861BC7" w:rsidRDefault="00861BC7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6A6A978E" w14:textId="6B61D127" w:rsidR="00861BC7" w:rsidRPr="00861BC7" w:rsidRDefault="00861BC7" w:rsidP="005F5232">
            <w:pPr>
              <w:rPr>
                <w:b/>
              </w:rPr>
            </w:pPr>
            <w:r w:rsidRPr="00861BC7">
              <w:rPr>
                <w:b/>
              </w:rPr>
              <w:t>Significant Increase in Demand</w:t>
            </w:r>
          </w:p>
        </w:tc>
      </w:tr>
      <w:tr w:rsidR="00861BC7" w14:paraId="5A3448E6" w14:textId="77777777" w:rsidTr="005F5232">
        <w:tc>
          <w:tcPr>
            <w:tcW w:w="2155" w:type="dxa"/>
          </w:tcPr>
          <w:p w14:paraId="7385A5E0" w14:textId="77777777" w:rsidR="00861BC7" w:rsidRDefault="00861BC7" w:rsidP="005F5232">
            <w:r>
              <w:t>Key Reliability Question</w:t>
            </w:r>
          </w:p>
        </w:tc>
        <w:tc>
          <w:tcPr>
            <w:tcW w:w="7915" w:type="dxa"/>
          </w:tcPr>
          <w:p w14:paraId="271D39BA" w14:textId="77777777" w:rsidR="00861BC7" w:rsidRDefault="00861BC7" w:rsidP="00861BC7">
            <w:pPr>
              <w:pStyle w:val="ListBullet"/>
            </w:pPr>
            <w:r>
              <w:t>What reliability risks could result from a significant increase in demand, e.g., demand doubling in 10-20 years?  How would reliability risk be affected by various combinations o</w:t>
            </w:r>
            <w:r w:rsidRPr="00AB4230">
              <w:t>f resource additions/retirements (define specific study cases)?</w:t>
            </w:r>
          </w:p>
          <w:p w14:paraId="273C692B" w14:textId="77777777" w:rsidR="00861BC7" w:rsidRDefault="00861BC7" w:rsidP="00861BC7">
            <w:pPr>
              <w:pStyle w:val="ListBullet"/>
            </w:pPr>
            <w:r>
              <w:t>What would be the likely resource mix (quantities and types) to meet increased demand?</w:t>
            </w:r>
          </w:p>
          <w:p w14:paraId="539B4CDE" w14:textId="77777777" w:rsidR="00861BC7" w:rsidRDefault="00861BC7" w:rsidP="00861BC7">
            <w:pPr>
              <w:pStyle w:val="ListBullet"/>
            </w:pPr>
            <w:r>
              <w:t>What would be the impacts on transmission utilization?</w:t>
            </w:r>
          </w:p>
          <w:p w14:paraId="07E0CDF9" w14:textId="77777777" w:rsidR="00861BC7" w:rsidRDefault="00861BC7" w:rsidP="00861BC7">
            <w:pPr>
              <w:pStyle w:val="ListBullet"/>
            </w:pPr>
            <w:r>
              <w:t>At what demand increase level could stability issues create a reliability risk?</w:t>
            </w:r>
          </w:p>
          <w:p w14:paraId="69396714" w14:textId="1B5667C4" w:rsidR="00861BC7" w:rsidRDefault="00861BC7" w:rsidP="00861BC7">
            <w:pPr>
              <w:pStyle w:val="ListBullet"/>
            </w:pPr>
            <w:r>
              <w:t>Assuming current plans for resource retirements and additions are realized, at what level of average annual demand growth (%/year) would adverse reliability impacts appear in years 2028 and 2038?</w:t>
            </w:r>
          </w:p>
        </w:tc>
      </w:tr>
      <w:tr w:rsidR="00861BC7" w14:paraId="27BCB51B" w14:textId="77777777" w:rsidTr="005F5232">
        <w:tc>
          <w:tcPr>
            <w:tcW w:w="2155" w:type="dxa"/>
          </w:tcPr>
          <w:p w14:paraId="22DD8935" w14:textId="77777777" w:rsidR="00861BC7" w:rsidRDefault="00861BC7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46715A91" w14:textId="77777777" w:rsidR="00DF6A27" w:rsidRDefault="000D70F2" w:rsidP="005F5232">
            <w:pPr>
              <w:rPr>
                <w:i/>
              </w:rPr>
            </w:pPr>
            <w:r>
              <w:t>NTP #2:</w:t>
            </w:r>
            <w:r>
              <w:rPr>
                <w:i/>
              </w:rPr>
              <w:t xml:space="preserve"> Impacts of the Changing Resource Mix </w:t>
            </w:r>
          </w:p>
          <w:p w14:paraId="3804352A" w14:textId="77777777" w:rsidR="00DF6A27" w:rsidRDefault="000D70F2" w:rsidP="00DF6A27">
            <w:pPr>
              <w:pStyle w:val="ListBullet"/>
            </w:pPr>
            <w:r>
              <w:t xml:space="preserve">“Resource adequacy…”  </w:t>
            </w:r>
          </w:p>
          <w:p w14:paraId="27E56E14" w14:textId="1563FD97" w:rsidR="00861BC7" w:rsidRDefault="000D70F2" w:rsidP="00DF6A27">
            <w:pPr>
              <w:pStyle w:val="ListBullet"/>
            </w:pPr>
            <w:r>
              <w:t>“…analysis must be performed to assure that reliability is preserved under a variety of system conditions.”</w:t>
            </w:r>
          </w:p>
        </w:tc>
      </w:tr>
      <w:tr w:rsidR="00861BC7" w14:paraId="1D7AA8C5" w14:textId="77777777" w:rsidTr="005F5232">
        <w:tc>
          <w:tcPr>
            <w:tcW w:w="2155" w:type="dxa"/>
          </w:tcPr>
          <w:p w14:paraId="0D7C9D5C" w14:textId="77777777" w:rsidR="00861BC7" w:rsidRDefault="00861BC7" w:rsidP="005F5232">
            <w:r>
              <w:t>Relationship to WECC Scenarios</w:t>
            </w:r>
          </w:p>
        </w:tc>
        <w:tc>
          <w:tcPr>
            <w:tcW w:w="7915" w:type="dxa"/>
          </w:tcPr>
          <w:p w14:paraId="00AD9004" w14:textId="28064CA8" w:rsidR="00861BC7" w:rsidRDefault="000D70F2" w:rsidP="005F5232">
            <w:r>
              <w:t>To be determined</w:t>
            </w:r>
          </w:p>
        </w:tc>
      </w:tr>
      <w:tr w:rsidR="00861BC7" w14:paraId="3F28F86F" w14:textId="77777777" w:rsidTr="005F5232">
        <w:tc>
          <w:tcPr>
            <w:tcW w:w="2155" w:type="dxa"/>
          </w:tcPr>
          <w:p w14:paraId="05A953B4" w14:textId="77777777" w:rsidR="00861BC7" w:rsidRDefault="00861BC7" w:rsidP="005F5232">
            <w:r>
              <w:t>Potential Partners</w:t>
            </w:r>
          </w:p>
        </w:tc>
        <w:tc>
          <w:tcPr>
            <w:tcW w:w="7915" w:type="dxa"/>
          </w:tcPr>
          <w:p w14:paraId="4BFCDFF8" w14:textId="77777777" w:rsidR="00861BC7" w:rsidRDefault="00861BC7" w:rsidP="005F5232"/>
        </w:tc>
      </w:tr>
    </w:tbl>
    <w:p w14:paraId="63751F9B" w14:textId="6CF3AA0B" w:rsidR="009E3618" w:rsidRDefault="009E3618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0D70F2" w14:paraId="73E95018" w14:textId="77777777" w:rsidTr="000D70F2">
        <w:trPr>
          <w:tblHeader/>
        </w:trPr>
        <w:tc>
          <w:tcPr>
            <w:tcW w:w="2155" w:type="dxa"/>
          </w:tcPr>
          <w:p w14:paraId="154C546A" w14:textId="77777777" w:rsidR="000D70F2" w:rsidRPr="00861BC7" w:rsidRDefault="000D70F2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2C4F291F" w14:textId="2A397DE0" w:rsidR="000D70F2" w:rsidRPr="00861BC7" w:rsidRDefault="000D70F2" w:rsidP="005F5232">
            <w:pPr>
              <w:rPr>
                <w:b/>
              </w:rPr>
            </w:pPr>
            <w:r w:rsidRPr="000D70F2">
              <w:rPr>
                <w:b/>
              </w:rPr>
              <w:t>Resilience</w:t>
            </w:r>
          </w:p>
        </w:tc>
      </w:tr>
      <w:tr w:rsidR="000D70F2" w14:paraId="38C9B9D7" w14:textId="77777777" w:rsidTr="005F5232">
        <w:tc>
          <w:tcPr>
            <w:tcW w:w="2155" w:type="dxa"/>
          </w:tcPr>
          <w:p w14:paraId="58B28DA5" w14:textId="77777777" w:rsidR="000D70F2" w:rsidRDefault="000D70F2" w:rsidP="005F5232">
            <w:r>
              <w:t>Key Reliability Question</w:t>
            </w:r>
          </w:p>
        </w:tc>
        <w:tc>
          <w:tcPr>
            <w:tcW w:w="7915" w:type="dxa"/>
          </w:tcPr>
          <w:p w14:paraId="2F1FF4AF" w14:textId="039BF138" w:rsidR="000D70F2" w:rsidRDefault="000D70F2" w:rsidP="000D70F2">
            <w:r>
              <w:t xml:space="preserve">What are the reliability impacts of a major disruption in years 2020, 2028 and 2038, e.g., </w:t>
            </w:r>
            <w:r w:rsidRPr="00277206">
              <w:t xml:space="preserve">the short-term impacts of </w:t>
            </w:r>
            <w:r>
              <w:t>natural</w:t>
            </w:r>
            <w:r w:rsidRPr="00277206">
              <w:t xml:space="preserve"> events (e.g., large fires which could simultaneously force the Pacific AC and Pacific DC interties out of service</w:t>
            </w:r>
            <w:r>
              <w:t xml:space="preserve"> or</w:t>
            </w:r>
            <w:r w:rsidRPr="00277206">
              <w:t xml:space="preserve"> earthquakes which could disable large sections of the electric grid in the </w:t>
            </w:r>
            <w:r w:rsidRPr="00277206">
              <w:lastRenderedPageBreak/>
              <w:t xml:space="preserve">Portland (e.g., Marion sub.) San Francisco (e.g., </w:t>
            </w:r>
            <w:proofErr w:type="spellStart"/>
            <w:r w:rsidRPr="00277206">
              <w:t>Vaca</w:t>
            </w:r>
            <w:proofErr w:type="spellEnd"/>
            <w:r w:rsidRPr="00277206">
              <w:t xml:space="preserve"> Dixon and Tesla subs.) or Los Angeles/Imperial Valley (e.g., Sylmar, Vincent, Rinaldi, Mira Loma, Imperial Valley subs.) areas</w:t>
            </w:r>
            <w:r>
              <w:t>) for a number of weeks?</w:t>
            </w:r>
          </w:p>
          <w:p w14:paraId="77FAAC8C" w14:textId="77777777" w:rsidR="000D70F2" w:rsidRPr="000D70F2" w:rsidRDefault="000D70F2" w:rsidP="000D70F2">
            <w:pPr>
              <w:pStyle w:val="ListBullet"/>
            </w:pPr>
            <w:r>
              <w:t xml:space="preserve">What natural events </w:t>
            </w:r>
            <w:r w:rsidRPr="000D70F2">
              <w:t>could cause a major disruption of the electric system?</w:t>
            </w:r>
          </w:p>
          <w:p w14:paraId="66BA61EE" w14:textId="77777777" w:rsidR="000D70F2" w:rsidRPr="000D70F2" w:rsidRDefault="000D70F2" w:rsidP="000D70F2">
            <w:pPr>
              <w:pStyle w:val="ListBullet"/>
            </w:pPr>
            <w:r w:rsidRPr="000D70F2">
              <w:t>What corresponding impacts to gas, water, and communication systems could exacerbate effects on the electric system?</w:t>
            </w:r>
          </w:p>
          <w:p w14:paraId="174BD708" w14:textId="77777777" w:rsidR="000D70F2" w:rsidRPr="000D70F2" w:rsidRDefault="000D70F2" w:rsidP="000D70F2">
            <w:pPr>
              <w:pStyle w:val="ListBullet"/>
            </w:pPr>
            <w:r w:rsidRPr="000D70F2">
              <w:t>Identify areas/systems in WECC which are more susceptible to result in large-scale/interconnection wide outages</w:t>
            </w:r>
          </w:p>
          <w:p w14:paraId="53851324" w14:textId="77777777" w:rsidR="000D70F2" w:rsidRPr="000D70F2" w:rsidRDefault="000D70F2" w:rsidP="000D70F2">
            <w:pPr>
              <w:pStyle w:val="ListBullet"/>
            </w:pPr>
            <w:r w:rsidRPr="000D70F2">
              <w:t>What cyber-related events could cause a major disruption?</w:t>
            </w:r>
          </w:p>
          <w:p w14:paraId="333C1FA0" w14:textId="77777777" w:rsidR="000D70F2" w:rsidRPr="000D70F2" w:rsidRDefault="000D70F2" w:rsidP="000D70F2">
            <w:pPr>
              <w:pStyle w:val="ListBullet"/>
            </w:pPr>
            <w:r w:rsidRPr="000D70F2">
              <w:t xml:space="preserve">How would a major event affect electric supply and electric demand as well as gas, water, and communication systems which could, in turn, exacerbate effects on the electric system?  </w:t>
            </w:r>
          </w:p>
          <w:p w14:paraId="54F0E68E" w14:textId="7C88F298" w:rsidR="000D70F2" w:rsidRDefault="000D70F2" w:rsidP="000D70F2">
            <w:pPr>
              <w:pStyle w:val="ListBullet"/>
            </w:pPr>
            <w:r w:rsidRPr="000D70F2">
              <w:t>What scope, schedule and costs would be involved in restoration?</w:t>
            </w:r>
          </w:p>
        </w:tc>
      </w:tr>
      <w:tr w:rsidR="000D70F2" w14:paraId="00715CEB" w14:textId="77777777" w:rsidTr="005F5232">
        <w:tc>
          <w:tcPr>
            <w:tcW w:w="2155" w:type="dxa"/>
          </w:tcPr>
          <w:p w14:paraId="2DEB484B" w14:textId="77777777" w:rsidR="000D70F2" w:rsidRDefault="000D70F2" w:rsidP="005F5232">
            <w:r>
              <w:lastRenderedPageBreak/>
              <w:t>Relationship to WECC Near-Term Priorities (NTP)</w:t>
            </w:r>
          </w:p>
        </w:tc>
        <w:tc>
          <w:tcPr>
            <w:tcW w:w="7915" w:type="dxa"/>
          </w:tcPr>
          <w:p w14:paraId="13D0E1A1" w14:textId="77777777" w:rsidR="00DF6A27" w:rsidRDefault="000D70F2" w:rsidP="000D70F2">
            <w:r>
              <w:t>NTP #2: Impacts of the Changing Resource Mix</w:t>
            </w:r>
            <w:r w:rsidRPr="009E3618">
              <w:t xml:space="preserve">  </w:t>
            </w:r>
          </w:p>
          <w:p w14:paraId="3552E325" w14:textId="2DA45154" w:rsidR="000D70F2" w:rsidRDefault="000D70F2" w:rsidP="00DF6A27">
            <w:pPr>
              <w:pStyle w:val="ListBullet"/>
            </w:pPr>
            <w:r w:rsidRPr="009E3618">
              <w:t>“…analysis must be performed to assure that reliability is preserved under a variety of system conditions.</w:t>
            </w:r>
          </w:p>
          <w:p w14:paraId="36414142" w14:textId="5B5E4048" w:rsidR="000D70F2" w:rsidRDefault="000D70F2" w:rsidP="000D70F2">
            <w:r>
              <w:t>NTP #4: Clarify roles in BPS Planning</w:t>
            </w:r>
          </w:p>
        </w:tc>
      </w:tr>
      <w:tr w:rsidR="000D70F2" w14:paraId="69F31ADC" w14:textId="77777777" w:rsidTr="005F5232">
        <w:tc>
          <w:tcPr>
            <w:tcW w:w="2155" w:type="dxa"/>
          </w:tcPr>
          <w:p w14:paraId="180651FB" w14:textId="77777777" w:rsidR="000D70F2" w:rsidRDefault="000D70F2" w:rsidP="005F5232">
            <w:r>
              <w:t>Relationship to WECC Scenarios</w:t>
            </w:r>
          </w:p>
        </w:tc>
        <w:tc>
          <w:tcPr>
            <w:tcW w:w="7915" w:type="dxa"/>
          </w:tcPr>
          <w:p w14:paraId="4583BCE9" w14:textId="7A92749C" w:rsidR="000D70F2" w:rsidRDefault="000D70F2" w:rsidP="005F5232">
            <w:r>
              <w:t>To be determined</w:t>
            </w:r>
          </w:p>
        </w:tc>
      </w:tr>
      <w:tr w:rsidR="000D70F2" w14:paraId="04A79D2A" w14:textId="77777777" w:rsidTr="005F5232">
        <w:tc>
          <w:tcPr>
            <w:tcW w:w="2155" w:type="dxa"/>
          </w:tcPr>
          <w:p w14:paraId="2E5A54C5" w14:textId="77777777" w:rsidR="000D70F2" w:rsidRDefault="000D70F2" w:rsidP="005F5232">
            <w:r>
              <w:t>Potential Partners</w:t>
            </w:r>
          </w:p>
        </w:tc>
        <w:tc>
          <w:tcPr>
            <w:tcW w:w="7915" w:type="dxa"/>
          </w:tcPr>
          <w:p w14:paraId="5A72E427" w14:textId="77777777" w:rsidR="000D70F2" w:rsidRDefault="000D70F2" w:rsidP="005F5232"/>
        </w:tc>
      </w:tr>
    </w:tbl>
    <w:p w14:paraId="5ACF6979" w14:textId="0FBBB5B1" w:rsidR="000D70F2" w:rsidRDefault="000D70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0D70F2" w14:paraId="121C5F78" w14:textId="77777777" w:rsidTr="005F5232">
        <w:trPr>
          <w:tblHeader/>
        </w:trPr>
        <w:tc>
          <w:tcPr>
            <w:tcW w:w="2155" w:type="dxa"/>
          </w:tcPr>
          <w:p w14:paraId="6386E096" w14:textId="77777777" w:rsidR="000D70F2" w:rsidRPr="00861BC7" w:rsidRDefault="000D70F2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4862D1ED" w14:textId="558CD348" w:rsidR="000D70F2" w:rsidRPr="00861BC7" w:rsidRDefault="000D70F2" w:rsidP="005F5232">
            <w:pPr>
              <w:rPr>
                <w:b/>
              </w:rPr>
            </w:pPr>
            <w:r w:rsidRPr="000D70F2">
              <w:rPr>
                <w:b/>
              </w:rPr>
              <w:t>Water Availability Impacts</w:t>
            </w:r>
          </w:p>
        </w:tc>
      </w:tr>
      <w:tr w:rsidR="000D70F2" w14:paraId="56C409D8" w14:textId="77777777" w:rsidTr="005F5232">
        <w:tc>
          <w:tcPr>
            <w:tcW w:w="2155" w:type="dxa"/>
          </w:tcPr>
          <w:p w14:paraId="6587476C" w14:textId="77777777" w:rsidR="000D70F2" w:rsidRDefault="000D70F2" w:rsidP="005F5232">
            <w:r>
              <w:t>Key Reliability Question</w:t>
            </w:r>
          </w:p>
        </w:tc>
        <w:tc>
          <w:tcPr>
            <w:tcW w:w="7915" w:type="dxa"/>
          </w:tcPr>
          <w:p w14:paraId="1FD15B68" w14:textId="77777777" w:rsidR="000D70F2" w:rsidRDefault="000D70F2" w:rsidP="000D70F2">
            <w:r>
              <w:t>How will limitations on water availability in the next 10-20 years impact reliability?</w:t>
            </w:r>
          </w:p>
          <w:p w14:paraId="11CBE95B" w14:textId="61176E56" w:rsidR="000D70F2" w:rsidRDefault="000D70F2" w:rsidP="000D70F2">
            <w:pPr>
              <w:pStyle w:val="ListBullet"/>
            </w:pPr>
            <w:r>
              <w:t>With projected increases in natural gas generation, will there be sufficient water to operate additional thermal resources?</w:t>
            </w:r>
          </w:p>
        </w:tc>
      </w:tr>
      <w:tr w:rsidR="000D70F2" w14:paraId="585F0401" w14:textId="77777777" w:rsidTr="005F5232">
        <w:tc>
          <w:tcPr>
            <w:tcW w:w="2155" w:type="dxa"/>
          </w:tcPr>
          <w:p w14:paraId="39BA8FBE" w14:textId="77777777" w:rsidR="000D70F2" w:rsidRDefault="000D70F2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3D995EAD" w14:textId="77777777" w:rsidR="00DF6A27" w:rsidRDefault="000D70F2" w:rsidP="000D70F2">
            <w:r>
              <w:t>NPP #2: Impacts of the Changing Resource Mix</w:t>
            </w:r>
            <w:r w:rsidRPr="009E3618">
              <w:t xml:space="preserve"> </w:t>
            </w:r>
          </w:p>
          <w:p w14:paraId="4529318F" w14:textId="7FFA3A3E" w:rsidR="000D70F2" w:rsidRDefault="000D70F2" w:rsidP="00DF6A27">
            <w:pPr>
              <w:pStyle w:val="ListBullet"/>
            </w:pPr>
            <w:r w:rsidRPr="009E3618">
              <w:t>“…analysis must be performed to a</w:t>
            </w:r>
            <w:r w:rsidRPr="000D70F2">
              <w:t>ss</w:t>
            </w:r>
            <w:r w:rsidRPr="009E3618">
              <w:t xml:space="preserve">ure that reliability is preserved under </w:t>
            </w:r>
            <w:r>
              <w:t>a variety of system conditions.</w:t>
            </w:r>
          </w:p>
        </w:tc>
      </w:tr>
      <w:tr w:rsidR="000D70F2" w14:paraId="0FFE4621" w14:textId="77777777" w:rsidTr="005F5232">
        <w:tc>
          <w:tcPr>
            <w:tcW w:w="2155" w:type="dxa"/>
          </w:tcPr>
          <w:p w14:paraId="50297806" w14:textId="77777777" w:rsidR="000D70F2" w:rsidRDefault="000D70F2" w:rsidP="005F5232">
            <w:r>
              <w:lastRenderedPageBreak/>
              <w:t>Relationship to WECC Scenarios</w:t>
            </w:r>
          </w:p>
        </w:tc>
        <w:tc>
          <w:tcPr>
            <w:tcW w:w="7915" w:type="dxa"/>
          </w:tcPr>
          <w:p w14:paraId="61EE59F7" w14:textId="365160AC" w:rsidR="000D70F2" w:rsidRDefault="000D70F2" w:rsidP="005F5232">
            <w:r>
              <w:t>To be determined</w:t>
            </w:r>
          </w:p>
        </w:tc>
      </w:tr>
      <w:tr w:rsidR="000D70F2" w14:paraId="20CA0D60" w14:textId="77777777" w:rsidTr="005F5232">
        <w:tc>
          <w:tcPr>
            <w:tcW w:w="2155" w:type="dxa"/>
          </w:tcPr>
          <w:p w14:paraId="28D51AF5" w14:textId="77777777" w:rsidR="000D70F2" w:rsidRDefault="000D70F2" w:rsidP="005F5232">
            <w:r>
              <w:t>Potential Partners</w:t>
            </w:r>
          </w:p>
        </w:tc>
        <w:tc>
          <w:tcPr>
            <w:tcW w:w="7915" w:type="dxa"/>
          </w:tcPr>
          <w:p w14:paraId="127800F9" w14:textId="6AB22309" w:rsidR="000D70F2" w:rsidRDefault="00906DC3" w:rsidP="005F5232">
            <w:r>
              <w:t>Sandia Laboratory</w:t>
            </w:r>
          </w:p>
        </w:tc>
      </w:tr>
    </w:tbl>
    <w:p w14:paraId="2F35FD40" w14:textId="56F1926F" w:rsidR="000D70F2" w:rsidRDefault="000D70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0D70F2" w14:paraId="06F248F4" w14:textId="77777777" w:rsidTr="005F5232">
        <w:trPr>
          <w:tblHeader/>
        </w:trPr>
        <w:tc>
          <w:tcPr>
            <w:tcW w:w="2155" w:type="dxa"/>
          </w:tcPr>
          <w:p w14:paraId="6C7A4D38" w14:textId="77777777" w:rsidR="000D70F2" w:rsidRPr="00861BC7" w:rsidRDefault="000D70F2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2AF15262" w14:textId="4F058CB0" w:rsidR="000D70F2" w:rsidRPr="00861BC7" w:rsidRDefault="000D70F2" w:rsidP="005F5232">
            <w:pPr>
              <w:rPr>
                <w:b/>
              </w:rPr>
            </w:pPr>
            <w:r w:rsidRPr="000D70F2">
              <w:rPr>
                <w:b/>
              </w:rPr>
              <w:t>Utility Business Models</w:t>
            </w:r>
          </w:p>
        </w:tc>
      </w:tr>
      <w:tr w:rsidR="000D70F2" w14:paraId="0E80486C" w14:textId="77777777" w:rsidTr="005F5232">
        <w:tc>
          <w:tcPr>
            <w:tcW w:w="2155" w:type="dxa"/>
          </w:tcPr>
          <w:p w14:paraId="17E579D5" w14:textId="77777777" w:rsidR="000D70F2" w:rsidRDefault="000D70F2" w:rsidP="005F5232">
            <w:r>
              <w:t>Key Reliability Question</w:t>
            </w:r>
          </w:p>
        </w:tc>
        <w:tc>
          <w:tcPr>
            <w:tcW w:w="7915" w:type="dxa"/>
          </w:tcPr>
          <w:p w14:paraId="6A19C210" w14:textId="77777777" w:rsidR="000D70F2" w:rsidRDefault="000D70F2" w:rsidP="000D70F2">
            <w:r>
              <w:t>Will alternate utility business models create reliability risks?</w:t>
            </w:r>
          </w:p>
          <w:p w14:paraId="7936DBBE" w14:textId="77777777" w:rsidR="000D70F2" w:rsidRDefault="000D70F2" w:rsidP="000D70F2">
            <w:pPr>
              <w:pStyle w:val="ListBullet"/>
            </w:pPr>
            <w:r>
              <w:t>As individuals become prosumers, will individuals’ use and generation patterns create reliability issues that “trickle up” from distribution to transmission?</w:t>
            </w:r>
          </w:p>
          <w:p w14:paraId="4898F27F" w14:textId="77777777" w:rsidR="000D70F2" w:rsidRDefault="000D70F2" w:rsidP="000D70F2">
            <w:pPr>
              <w:pStyle w:val="ListBullet"/>
            </w:pPr>
            <w:r>
              <w:t>How would the development of “</w:t>
            </w:r>
            <w:proofErr w:type="spellStart"/>
            <w:r>
              <w:t>prosumagers</w:t>
            </w:r>
            <w:proofErr w:type="spellEnd"/>
            <w:r>
              <w:t>,” consumers who can also produce and manage energy, impact grid reliability?</w:t>
            </w:r>
          </w:p>
          <w:p w14:paraId="2E9BD053" w14:textId="77777777" w:rsidR="000D70F2" w:rsidRDefault="000D70F2" w:rsidP="000D70F2">
            <w:pPr>
              <w:pStyle w:val="ListBullet"/>
            </w:pPr>
            <w:r>
              <w:t xml:space="preserve">Could residential </w:t>
            </w:r>
            <w:proofErr w:type="spellStart"/>
            <w:r>
              <w:t>prosumager</w:t>
            </w:r>
            <w:proofErr w:type="spellEnd"/>
            <w:r>
              <w:t xml:space="preserve"> aggregators become “virtual utilities” that present challenges to grid reliability?</w:t>
            </w:r>
          </w:p>
          <w:p w14:paraId="597F94E7" w14:textId="451DEBB0" w:rsidR="000D70F2" w:rsidRDefault="000D70F2" w:rsidP="000D70F2">
            <w:pPr>
              <w:pStyle w:val="ListBullet"/>
            </w:pPr>
            <w:r>
              <w:t>Is it likely that such reliability risks will manifest by year 2028?  by year 2038?</w:t>
            </w:r>
          </w:p>
        </w:tc>
      </w:tr>
      <w:tr w:rsidR="000D70F2" w14:paraId="53A4E8A8" w14:textId="77777777" w:rsidTr="005F5232">
        <w:tc>
          <w:tcPr>
            <w:tcW w:w="2155" w:type="dxa"/>
          </w:tcPr>
          <w:p w14:paraId="6A671D4A" w14:textId="77777777" w:rsidR="000D70F2" w:rsidRDefault="000D70F2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04EE02A0" w14:textId="77777777" w:rsidR="00DF6A27" w:rsidRDefault="000D70F2" w:rsidP="000D70F2">
            <w:r>
              <w:t>NTP #2: Impacts of the Changing Resource Mix</w:t>
            </w:r>
            <w:r w:rsidRPr="00B44F98">
              <w:t xml:space="preserve"> </w:t>
            </w:r>
          </w:p>
          <w:p w14:paraId="5E7D0992" w14:textId="77777777" w:rsidR="00DF6A27" w:rsidRDefault="000D70F2" w:rsidP="00DF6A27">
            <w:pPr>
              <w:pStyle w:val="ListBullet"/>
            </w:pPr>
            <w:r w:rsidRPr="00B44F98">
              <w:t>“</w:t>
            </w:r>
            <w:r>
              <w:t xml:space="preserve">Essential reliability services specific to the Western Interconnection.”  </w:t>
            </w:r>
            <w:bookmarkStart w:id="1" w:name="_Hlk520443198"/>
          </w:p>
          <w:p w14:paraId="23A8F42C" w14:textId="77777777" w:rsidR="00DF6A27" w:rsidRDefault="000D70F2" w:rsidP="00DF6A27">
            <w:pPr>
              <w:pStyle w:val="ListBullet"/>
            </w:pPr>
            <w:r>
              <w:t xml:space="preserve">“The interface between the transmission and distribution systems due to DER, with a focus on modeling techniques that can be used as DER penetration increases.”  </w:t>
            </w:r>
            <w:bookmarkEnd w:id="1"/>
          </w:p>
          <w:p w14:paraId="10DB99B8" w14:textId="09CD4A52" w:rsidR="000D70F2" w:rsidRDefault="000D70F2" w:rsidP="00DF6A27">
            <w:pPr>
              <w:pStyle w:val="ListBullet"/>
            </w:pPr>
            <w:r>
              <w:t>Consumers acting as both end-users and suppliers at different times may place unexpected burdens on the electric system</w:t>
            </w:r>
            <w:proofErr w:type="gramStart"/>
            <w:r>
              <w:t>:  “</w:t>
            </w:r>
            <w:proofErr w:type="gramEnd"/>
            <w:r w:rsidRPr="00B44F98">
              <w:t>…analysis must be performed to assure that reliability is preserved under a variety of system conditions.”</w:t>
            </w:r>
          </w:p>
        </w:tc>
      </w:tr>
      <w:tr w:rsidR="000D70F2" w14:paraId="2B63585F" w14:textId="77777777" w:rsidTr="005F5232">
        <w:tc>
          <w:tcPr>
            <w:tcW w:w="2155" w:type="dxa"/>
          </w:tcPr>
          <w:p w14:paraId="787E5370" w14:textId="77777777" w:rsidR="000D70F2" w:rsidRDefault="000D70F2" w:rsidP="005F5232">
            <w:r>
              <w:t>Relationship to WECC Scenarios</w:t>
            </w:r>
          </w:p>
        </w:tc>
        <w:tc>
          <w:tcPr>
            <w:tcW w:w="7915" w:type="dxa"/>
          </w:tcPr>
          <w:p w14:paraId="2153EACC" w14:textId="5E1E1B03" w:rsidR="000D70F2" w:rsidRDefault="000D70F2" w:rsidP="005F5232">
            <w:r>
              <w:t>Scenario 2: Market-based policy with a high degree of market freedom and customers seeking more energy service options</w:t>
            </w:r>
          </w:p>
        </w:tc>
      </w:tr>
      <w:tr w:rsidR="000D70F2" w14:paraId="2A72FEF3" w14:textId="77777777" w:rsidTr="005F5232">
        <w:tc>
          <w:tcPr>
            <w:tcW w:w="2155" w:type="dxa"/>
          </w:tcPr>
          <w:p w14:paraId="1D41FA33" w14:textId="77777777" w:rsidR="000D70F2" w:rsidRDefault="000D70F2" w:rsidP="005F5232">
            <w:r>
              <w:t>Potential Partners</w:t>
            </w:r>
          </w:p>
        </w:tc>
        <w:tc>
          <w:tcPr>
            <w:tcW w:w="7915" w:type="dxa"/>
          </w:tcPr>
          <w:p w14:paraId="07282729" w14:textId="77777777" w:rsidR="000D70F2" w:rsidRDefault="000D70F2" w:rsidP="005F5232"/>
        </w:tc>
      </w:tr>
    </w:tbl>
    <w:p w14:paraId="0C8B97D8" w14:textId="519CE137" w:rsidR="000D70F2" w:rsidRDefault="000D70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0D70F2" w14:paraId="33FFC3A1" w14:textId="77777777" w:rsidTr="005F5232">
        <w:trPr>
          <w:tblHeader/>
        </w:trPr>
        <w:tc>
          <w:tcPr>
            <w:tcW w:w="2155" w:type="dxa"/>
          </w:tcPr>
          <w:p w14:paraId="7D9C86FD" w14:textId="77777777" w:rsidR="000D70F2" w:rsidRPr="00861BC7" w:rsidRDefault="000D70F2" w:rsidP="005F5232">
            <w:pPr>
              <w:rPr>
                <w:b/>
              </w:rPr>
            </w:pPr>
            <w:r>
              <w:rPr>
                <w:b/>
              </w:rPr>
              <w:lastRenderedPageBreak/>
              <w:t>Issue</w:t>
            </w:r>
          </w:p>
        </w:tc>
        <w:tc>
          <w:tcPr>
            <w:tcW w:w="7915" w:type="dxa"/>
          </w:tcPr>
          <w:p w14:paraId="78F39749" w14:textId="753828F5" w:rsidR="000D70F2" w:rsidRPr="00861BC7" w:rsidRDefault="000D70F2" w:rsidP="005F5232">
            <w:pPr>
              <w:rPr>
                <w:b/>
              </w:rPr>
            </w:pPr>
            <w:r w:rsidRPr="000D70F2">
              <w:rPr>
                <w:b/>
              </w:rPr>
              <w:t>WECC Scenarios (4)</w:t>
            </w:r>
          </w:p>
        </w:tc>
      </w:tr>
      <w:tr w:rsidR="000D70F2" w14:paraId="50E4525B" w14:textId="77777777" w:rsidTr="005F5232">
        <w:tc>
          <w:tcPr>
            <w:tcW w:w="2155" w:type="dxa"/>
          </w:tcPr>
          <w:p w14:paraId="7600D7EB" w14:textId="77777777" w:rsidR="000D70F2" w:rsidRDefault="000D70F2" w:rsidP="005F5232">
            <w:r>
              <w:t>Key Reliability Question</w:t>
            </w:r>
          </w:p>
        </w:tc>
        <w:tc>
          <w:tcPr>
            <w:tcW w:w="7915" w:type="dxa"/>
          </w:tcPr>
          <w:p w14:paraId="60F3D548" w14:textId="77777777" w:rsidR="000D70F2" w:rsidRDefault="000D70F2" w:rsidP="000D70F2">
            <w:r>
              <w:t>What potential reliability risks could arise in each of the WECC future scenarios?</w:t>
            </w:r>
          </w:p>
          <w:p w14:paraId="054A2717" w14:textId="77777777" w:rsidR="000D70F2" w:rsidRDefault="000D70F2" w:rsidP="000D70F2">
            <w:pPr>
              <w:pStyle w:val="ListBullet"/>
            </w:pPr>
            <w:r>
              <w:t>What resource mix changes are likely to result from each of the WECC scenarios in the next ten years?  in the next twenty years?</w:t>
            </w:r>
          </w:p>
          <w:p w14:paraId="196849CF" w14:textId="118E9913" w:rsidR="000D70F2" w:rsidRDefault="000D70F2" w:rsidP="000D70F2">
            <w:pPr>
              <w:pStyle w:val="ListBullet"/>
            </w:pPr>
            <w:r>
              <w:t>How might each of the scenarios affect WECC’s ability to maintain reliability?</w:t>
            </w:r>
          </w:p>
        </w:tc>
      </w:tr>
      <w:tr w:rsidR="000D70F2" w14:paraId="3AAF0FF1" w14:textId="77777777" w:rsidTr="005F5232">
        <w:tc>
          <w:tcPr>
            <w:tcW w:w="2155" w:type="dxa"/>
          </w:tcPr>
          <w:p w14:paraId="623843D3" w14:textId="77777777" w:rsidR="000D70F2" w:rsidRDefault="000D70F2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0FA1B71A" w14:textId="77777777" w:rsidR="00DF6A27" w:rsidRDefault="000D70F2" w:rsidP="000D70F2">
            <w:r>
              <w:t xml:space="preserve">NTP#2: Impacts of the Changing Resource Mix </w:t>
            </w:r>
          </w:p>
          <w:p w14:paraId="2CACEC3D" w14:textId="77777777" w:rsidR="00DF6A27" w:rsidRDefault="000D70F2" w:rsidP="00DF6A27">
            <w:pPr>
              <w:pStyle w:val="ListBullet"/>
            </w:pPr>
            <w:r w:rsidRPr="00B44F98">
              <w:t>“</w:t>
            </w:r>
            <w:r>
              <w:t xml:space="preserve">Resource adequacy…”  </w:t>
            </w:r>
          </w:p>
          <w:p w14:paraId="0EFB59B4" w14:textId="77777777" w:rsidR="00DF6A27" w:rsidRDefault="000D70F2" w:rsidP="00DF6A27">
            <w:pPr>
              <w:pStyle w:val="ListBullet"/>
            </w:pPr>
            <w:r w:rsidRPr="009E3618">
              <w:t>“…analysis must be performed to assure that reliability is preserved under a variety of system conditions.</w:t>
            </w:r>
          </w:p>
          <w:p w14:paraId="77EE15B3" w14:textId="77777777" w:rsidR="00DF6A27" w:rsidRDefault="000D70F2" w:rsidP="00DF6A27">
            <w:pPr>
              <w:pStyle w:val="ListBullet"/>
            </w:pPr>
            <w:proofErr w:type="gramStart"/>
            <w:r w:rsidRPr="009E3618">
              <w:t>”</w:t>
            </w:r>
            <w:r w:rsidRPr="00B44F98">
              <w:t>Essential</w:t>
            </w:r>
            <w:proofErr w:type="gramEnd"/>
            <w:r w:rsidRPr="00B44F98">
              <w:t xml:space="preserve"> reliability services specific to the Western Interconnection.”  </w:t>
            </w:r>
          </w:p>
          <w:p w14:paraId="238EDC88" w14:textId="409407FC" w:rsidR="000D70F2" w:rsidRDefault="00DF6A27" w:rsidP="00DF6A27">
            <w:r>
              <w:t>NTP #</w:t>
            </w:r>
            <w:r w:rsidR="000D70F2" w:rsidRPr="00193D2D">
              <w:t>3</w:t>
            </w:r>
            <w:r>
              <w:t>:</w:t>
            </w:r>
            <w:r w:rsidR="000D70F2" w:rsidRPr="00193D2D">
              <w:t xml:space="preserve"> Expansion of RC and Market Service Providers</w:t>
            </w:r>
          </w:p>
        </w:tc>
      </w:tr>
      <w:tr w:rsidR="000D70F2" w14:paraId="1D79C8C6" w14:textId="77777777" w:rsidTr="005F5232">
        <w:tc>
          <w:tcPr>
            <w:tcW w:w="2155" w:type="dxa"/>
          </w:tcPr>
          <w:p w14:paraId="690375C7" w14:textId="77777777" w:rsidR="000D70F2" w:rsidRDefault="000D70F2" w:rsidP="005F5232">
            <w:r>
              <w:t>Relationship to WECC Scenarios</w:t>
            </w:r>
          </w:p>
        </w:tc>
        <w:tc>
          <w:tcPr>
            <w:tcW w:w="7915" w:type="dxa"/>
          </w:tcPr>
          <w:p w14:paraId="44CA3C58" w14:textId="1C19103C" w:rsidR="000D70F2" w:rsidRDefault="000D70F2" w:rsidP="000D70F2">
            <w:r>
              <w:t>Subject to priorities and resource availability, all 4 WECC Scenarios will be evaluated.</w:t>
            </w:r>
          </w:p>
        </w:tc>
      </w:tr>
      <w:tr w:rsidR="000D70F2" w14:paraId="48569D5D" w14:textId="77777777" w:rsidTr="005F5232">
        <w:tc>
          <w:tcPr>
            <w:tcW w:w="2155" w:type="dxa"/>
          </w:tcPr>
          <w:p w14:paraId="64180E5F" w14:textId="77777777" w:rsidR="000D70F2" w:rsidRDefault="000D70F2" w:rsidP="005F5232">
            <w:r>
              <w:t>Potential Partners</w:t>
            </w:r>
          </w:p>
        </w:tc>
        <w:tc>
          <w:tcPr>
            <w:tcW w:w="7915" w:type="dxa"/>
          </w:tcPr>
          <w:p w14:paraId="09EC466E" w14:textId="77777777" w:rsidR="000D70F2" w:rsidRDefault="000D70F2" w:rsidP="005F5232"/>
        </w:tc>
      </w:tr>
    </w:tbl>
    <w:p w14:paraId="0A78EAED" w14:textId="521872AA" w:rsidR="000D70F2" w:rsidRDefault="000D70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0D70F2" w14:paraId="4578A088" w14:textId="77777777" w:rsidTr="005F5232">
        <w:trPr>
          <w:tblHeader/>
        </w:trPr>
        <w:tc>
          <w:tcPr>
            <w:tcW w:w="2155" w:type="dxa"/>
          </w:tcPr>
          <w:p w14:paraId="67116D7D" w14:textId="77777777" w:rsidR="000D70F2" w:rsidRPr="00861BC7" w:rsidRDefault="000D70F2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22A23FDC" w14:textId="3A0A7F16" w:rsidR="000D70F2" w:rsidRPr="00861BC7" w:rsidRDefault="000D70F2" w:rsidP="005F5232">
            <w:pPr>
              <w:rPr>
                <w:b/>
              </w:rPr>
            </w:pPr>
            <w:r w:rsidRPr="000D70F2">
              <w:rPr>
                <w:b/>
              </w:rPr>
              <w:t>Change in System Inertia</w:t>
            </w:r>
          </w:p>
        </w:tc>
      </w:tr>
      <w:tr w:rsidR="000D70F2" w14:paraId="24FD84AA" w14:textId="77777777" w:rsidTr="005F5232">
        <w:tc>
          <w:tcPr>
            <w:tcW w:w="2155" w:type="dxa"/>
          </w:tcPr>
          <w:p w14:paraId="3FB3516E" w14:textId="77777777" w:rsidR="000D70F2" w:rsidRDefault="000D70F2" w:rsidP="005F5232">
            <w:r>
              <w:t>Key Reliability Question</w:t>
            </w:r>
          </w:p>
        </w:tc>
        <w:tc>
          <w:tcPr>
            <w:tcW w:w="7915" w:type="dxa"/>
          </w:tcPr>
          <w:p w14:paraId="3D64A383" w14:textId="77777777" w:rsidR="000D70F2" w:rsidRDefault="000D70F2" w:rsidP="000D70F2">
            <w:r>
              <w:t>What potential reliability risks could arise from changes to the resource mix in the Western Interconnection over the next ten and twenty years from the retirement of 90 to 100% of the coal fleet and an increase in renewable technologies?</w:t>
            </w:r>
          </w:p>
          <w:p w14:paraId="58E1B362" w14:textId="77777777" w:rsidR="000D70F2" w:rsidRDefault="000D70F2" w:rsidP="000D70F2">
            <w:pPr>
              <w:pStyle w:val="ListBullet"/>
            </w:pPr>
            <w:r>
              <w:t>What are the impacts of changes to system inertia [impacts on initial frequency response to a disturbance (attenuation and stabilization of the initial frequency decline) and impacts on primary frequency response to a disturbance (to reverse the initial frequency decline until Automatic Generation Control kicks-in)]?</w:t>
            </w:r>
          </w:p>
          <w:p w14:paraId="65AB9E00" w14:textId="77777777" w:rsidR="000D70F2" w:rsidRDefault="000D70F2" w:rsidP="000D70F2">
            <w:pPr>
              <w:pStyle w:val="ListBullet"/>
            </w:pPr>
            <w:r>
              <w:t>Would the system be able to respond appropriately to disturbances with high solar penetration and some synthetic inertia?</w:t>
            </w:r>
          </w:p>
          <w:p w14:paraId="03D95952" w14:textId="77777777" w:rsidR="000D70F2" w:rsidRDefault="000D70F2" w:rsidP="000D70F2">
            <w:pPr>
              <w:pStyle w:val="ListBullet"/>
            </w:pPr>
            <w:r>
              <w:t>Would the system be able to respond appropriately to disturbances with high solar penetration and no synthetic inertia?</w:t>
            </w:r>
          </w:p>
          <w:p w14:paraId="444440CE" w14:textId="77777777" w:rsidR="000D70F2" w:rsidRDefault="000D70F2" w:rsidP="000D70F2">
            <w:pPr>
              <w:pStyle w:val="ListBullet"/>
            </w:pPr>
            <w:r>
              <w:lastRenderedPageBreak/>
              <w:t>What benefits could smart inverters offer for generation connected to the AC electric grid via inverters?</w:t>
            </w:r>
          </w:p>
          <w:p w14:paraId="5D47C280" w14:textId="0BB47E89" w:rsidR="000D70F2" w:rsidRDefault="000D70F2" w:rsidP="000D70F2">
            <w:pPr>
              <w:pStyle w:val="ListBullet"/>
            </w:pPr>
            <w:r>
              <w:t>How would policy and market initiatives that promote expansion of energy storage impact system inertia and associated reliability risks?</w:t>
            </w:r>
          </w:p>
        </w:tc>
      </w:tr>
      <w:tr w:rsidR="000D70F2" w14:paraId="04E77597" w14:textId="77777777" w:rsidTr="005F5232">
        <w:tc>
          <w:tcPr>
            <w:tcW w:w="2155" w:type="dxa"/>
          </w:tcPr>
          <w:p w14:paraId="2CD73145" w14:textId="77777777" w:rsidR="000D70F2" w:rsidRDefault="000D70F2" w:rsidP="005F5232">
            <w:r>
              <w:lastRenderedPageBreak/>
              <w:t>Relationship to WECC Near-Term Priorities (NTP)</w:t>
            </w:r>
          </w:p>
        </w:tc>
        <w:tc>
          <w:tcPr>
            <w:tcW w:w="7915" w:type="dxa"/>
          </w:tcPr>
          <w:p w14:paraId="5D8651EE" w14:textId="77777777" w:rsidR="008775F2" w:rsidRDefault="008775F2" w:rsidP="008775F2">
            <w:r>
              <w:t xml:space="preserve">NTP #1: </w:t>
            </w:r>
            <w:r w:rsidRPr="008775F2">
              <w:t xml:space="preserve">Representation of Inverter-Based Resources </w:t>
            </w:r>
          </w:p>
          <w:p w14:paraId="2DEE901D" w14:textId="77777777" w:rsidR="00DF6A27" w:rsidRDefault="008775F2" w:rsidP="008775F2">
            <w:r>
              <w:t xml:space="preserve">NTP #2: </w:t>
            </w:r>
            <w:r w:rsidRPr="008775F2">
              <w:t>Impacts of the Changing Resource Mix</w:t>
            </w:r>
          </w:p>
          <w:p w14:paraId="60997F7A" w14:textId="77777777" w:rsidR="00DF6A27" w:rsidRDefault="008775F2" w:rsidP="00DF6A27">
            <w:pPr>
              <w:pStyle w:val="ListBullet"/>
            </w:pPr>
            <w:r w:rsidRPr="008775F2">
              <w:t xml:space="preserve">“The expansion of utility-scale energy storage devices.”  </w:t>
            </w:r>
          </w:p>
          <w:p w14:paraId="4464E2C0" w14:textId="77777777" w:rsidR="00DF6A27" w:rsidRDefault="008775F2" w:rsidP="00DF6A27">
            <w:pPr>
              <w:pStyle w:val="ListBullet"/>
            </w:pPr>
            <w:r w:rsidRPr="008775F2">
              <w:t xml:space="preserve">“The interface between the transmission and distribution systems due to DER, with a focus on modeling techniques that can be used as DER penetration increases.”  </w:t>
            </w:r>
          </w:p>
          <w:p w14:paraId="7D8C0FBE" w14:textId="77777777" w:rsidR="00DF6A27" w:rsidRDefault="008775F2" w:rsidP="00DF6A27">
            <w:pPr>
              <w:pStyle w:val="ListBullet"/>
            </w:pPr>
            <w:r w:rsidRPr="008775F2">
              <w:t xml:space="preserve">“…analysis must be performed to assure that reliability is preserved under a variety of system conditions.”  </w:t>
            </w:r>
          </w:p>
          <w:p w14:paraId="5689F0CB" w14:textId="626FFEBA" w:rsidR="000D70F2" w:rsidRDefault="008775F2" w:rsidP="00DF6A27">
            <w:pPr>
              <w:pStyle w:val="ListBullet"/>
            </w:pPr>
            <w:r w:rsidRPr="008775F2">
              <w:t xml:space="preserve">“Essential reliability services specific to the Western Interconnection.”  </w:t>
            </w:r>
          </w:p>
        </w:tc>
      </w:tr>
      <w:tr w:rsidR="000D70F2" w14:paraId="3531B788" w14:textId="77777777" w:rsidTr="005F5232">
        <w:tc>
          <w:tcPr>
            <w:tcW w:w="2155" w:type="dxa"/>
          </w:tcPr>
          <w:p w14:paraId="3E96CD2A" w14:textId="77777777" w:rsidR="000D70F2" w:rsidRDefault="000D70F2" w:rsidP="005F5232">
            <w:r>
              <w:t>Relationship to WECC Scenarios</w:t>
            </w:r>
          </w:p>
        </w:tc>
        <w:tc>
          <w:tcPr>
            <w:tcW w:w="7915" w:type="dxa"/>
          </w:tcPr>
          <w:p w14:paraId="3A499DA6" w14:textId="77777777" w:rsidR="000D70F2" w:rsidRDefault="000D70F2" w:rsidP="005F5232"/>
        </w:tc>
      </w:tr>
      <w:tr w:rsidR="000D70F2" w14:paraId="54E563E5" w14:textId="77777777" w:rsidTr="005F5232">
        <w:tc>
          <w:tcPr>
            <w:tcW w:w="2155" w:type="dxa"/>
          </w:tcPr>
          <w:p w14:paraId="4F5AA828" w14:textId="77777777" w:rsidR="000D70F2" w:rsidRDefault="000D70F2" w:rsidP="005F5232">
            <w:r>
              <w:t>Potential Partners</w:t>
            </w:r>
          </w:p>
        </w:tc>
        <w:tc>
          <w:tcPr>
            <w:tcW w:w="7915" w:type="dxa"/>
          </w:tcPr>
          <w:p w14:paraId="63F1F8DF" w14:textId="77777777" w:rsidR="000D70F2" w:rsidRDefault="000D70F2" w:rsidP="005F5232"/>
        </w:tc>
      </w:tr>
    </w:tbl>
    <w:p w14:paraId="0EF3CFCF" w14:textId="197BF476" w:rsidR="000D70F2" w:rsidRDefault="000D70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8775F2" w14:paraId="46164590" w14:textId="77777777" w:rsidTr="005F5232">
        <w:trPr>
          <w:tblHeader/>
        </w:trPr>
        <w:tc>
          <w:tcPr>
            <w:tcW w:w="2155" w:type="dxa"/>
          </w:tcPr>
          <w:p w14:paraId="0ECE22BE" w14:textId="77777777" w:rsidR="008775F2" w:rsidRPr="00861BC7" w:rsidRDefault="008775F2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15179E08" w14:textId="6571C275" w:rsidR="008775F2" w:rsidRPr="00861BC7" w:rsidRDefault="008775F2" w:rsidP="005F5232">
            <w:pPr>
              <w:rPr>
                <w:b/>
              </w:rPr>
            </w:pPr>
            <w:r w:rsidRPr="008775F2">
              <w:rPr>
                <w:b/>
              </w:rPr>
              <w:t>Gas-Electric Interface Issues</w:t>
            </w:r>
          </w:p>
        </w:tc>
      </w:tr>
      <w:tr w:rsidR="008775F2" w14:paraId="00EEC711" w14:textId="77777777" w:rsidTr="005F5232">
        <w:tc>
          <w:tcPr>
            <w:tcW w:w="2155" w:type="dxa"/>
          </w:tcPr>
          <w:p w14:paraId="5F77890A" w14:textId="77777777" w:rsidR="008775F2" w:rsidRDefault="008775F2" w:rsidP="005F5232">
            <w:r>
              <w:t>Key Reliability Question</w:t>
            </w:r>
          </w:p>
        </w:tc>
        <w:tc>
          <w:tcPr>
            <w:tcW w:w="7915" w:type="dxa"/>
          </w:tcPr>
          <w:p w14:paraId="12B1E482" w14:textId="77777777" w:rsidR="008775F2" w:rsidRDefault="008775F2" w:rsidP="008775F2">
            <w:r>
              <w:t>What additional reliability risks might the Western Interconnection experience if solar or other renewable resource penetration increased significantly in the next ten years? in the next twenty years.</w:t>
            </w:r>
          </w:p>
          <w:p w14:paraId="4D980540" w14:textId="77777777" w:rsidR="008775F2" w:rsidRPr="00313937" w:rsidRDefault="008775F2" w:rsidP="008775F2">
            <w:pPr>
              <w:pStyle w:val="ListBullet"/>
            </w:pPr>
            <w:r>
              <w:t>What additional strains might there be on the natural gas transportation system?</w:t>
            </w:r>
          </w:p>
          <w:p w14:paraId="07D13BC6" w14:textId="161A26F9" w:rsidR="008775F2" w:rsidRDefault="008775F2" w:rsidP="008775F2">
            <w:pPr>
              <w:pStyle w:val="ListBullet"/>
            </w:pPr>
            <w:r>
              <w:t>Could there be increases in potential unserved load or unmet operating reserves?</w:t>
            </w:r>
          </w:p>
        </w:tc>
      </w:tr>
      <w:tr w:rsidR="008775F2" w14:paraId="2899DB3A" w14:textId="77777777" w:rsidTr="005F5232">
        <w:tc>
          <w:tcPr>
            <w:tcW w:w="2155" w:type="dxa"/>
          </w:tcPr>
          <w:p w14:paraId="63578A20" w14:textId="77777777" w:rsidR="008775F2" w:rsidRDefault="008775F2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38188C51" w14:textId="77777777" w:rsidR="00DF6A27" w:rsidRDefault="008775F2" w:rsidP="008775F2">
            <w:r>
              <w:t>NTP #2: Impacts of the Changing Resource Mix</w:t>
            </w:r>
          </w:p>
          <w:p w14:paraId="305ADB3F" w14:textId="17C84D7D" w:rsidR="008775F2" w:rsidRDefault="008775F2" w:rsidP="00DF6A27">
            <w:pPr>
              <w:pStyle w:val="ListBullet"/>
            </w:pPr>
            <w:r w:rsidRPr="00610A9D">
              <w:t xml:space="preserve">“…analysis must be performed to assure that reliability is preserved under a variety of system conditions.”  “Essential reliability services specific to the Western Interconnection.”  </w:t>
            </w:r>
          </w:p>
        </w:tc>
      </w:tr>
      <w:tr w:rsidR="008775F2" w14:paraId="418C104A" w14:textId="77777777" w:rsidTr="005F5232">
        <w:tc>
          <w:tcPr>
            <w:tcW w:w="2155" w:type="dxa"/>
          </w:tcPr>
          <w:p w14:paraId="317C03A8" w14:textId="77777777" w:rsidR="008775F2" w:rsidRDefault="008775F2" w:rsidP="005F5232">
            <w:r>
              <w:lastRenderedPageBreak/>
              <w:t>Relationship to WECC Scenarios</w:t>
            </w:r>
          </w:p>
        </w:tc>
        <w:tc>
          <w:tcPr>
            <w:tcW w:w="7915" w:type="dxa"/>
          </w:tcPr>
          <w:p w14:paraId="7DA517B9" w14:textId="6710BC6C" w:rsidR="008775F2" w:rsidRDefault="008775F2" w:rsidP="005F5232">
            <w:r>
              <w:t>To be determined</w:t>
            </w:r>
          </w:p>
        </w:tc>
      </w:tr>
      <w:tr w:rsidR="008775F2" w14:paraId="17016E80" w14:textId="77777777" w:rsidTr="005F5232">
        <w:tc>
          <w:tcPr>
            <w:tcW w:w="2155" w:type="dxa"/>
          </w:tcPr>
          <w:p w14:paraId="3559B8EE" w14:textId="77777777" w:rsidR="008775F2" w:rsidRDefault="008775F2" w:rsidP="005F5232">
            <w:r>
              <w:t>Potential Partners</w:t>
            </w:r>
          </w:p>
        </w:tc>
        <w:tc>
          <w:tcPr>
            <w:tcW w:w="7915" w:type="dxa"/>
          </w:tcPr>
          <w:p w14:paraId="4E185854" w14:textId="77777777" w:rsidR="008775F2" w:rsidRDefault="008775F2" w:rsidP="005F5232"/>
        </w:tc>
      </w:tr>
    </w:tbl>
    <w:p w14:paraId="435E133B" w14:textId="77777777" w:rsidR="008775F2" w:rsidRDefault="008775F2" w:rsidP="000D70F2">
      <w:pPr>
        <w:pStyle w:val="ReliabilityQuestionBullet"/>
        <w:numPr>
          <w:ilvl w:val="0"/>
          <w:numId w:val="0"/>
        </w:numPr>
        <w:rPr>
          <w:i w:val="0"/>
        </w:rPr>
      </w:pPr>
    </w:p>
    <w:p w14:paraId="4E5F929A" w14:textId="779EBE01" w:rsidR="00610A9D" w:rsidRDefault="00610A9D" w:rsidP="00861B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861BC7" w14:paraId="2B1D475A" w14:textId="77777777" w:rsidTr="000D70F2">
        <w:trPr>
          <w:tblHeader/>
        </w:trPr>
        <w:tc>
          <w:tcPr>
            <w:tcW w:w="2155" w:type="dxa"/>
          </w:tcPr>
          <w:p w14:paraId="091E7382" w14:textId="77777777" w:rsidR="00861BC7" w:rsidRPr="00861BC7" w:rsidRDefault="00861BC7" w:rsidP="005F5232">
            <w:pPr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7915" w:type="dxa"/>
          </w:tcPr>
          <w:p w14:paraId="7041E5E4" w14:textId="77777777" w:rsidR="00861BC7" w:rsidRPr="00861BC7" w:rsidRDefault="00861BC7" w:rsidP="005F5232">
            <w:pPr>
              <w:rPr>
                <w:b/>
              </w:rPr>
            </w:pPr>
          </w:p>
        </w:tc>
      </w:tr>
      <w:tr w:rsidR="00861BC7" w14:paraId="383E39AF" w14:textId="77777777" w:rsidTr="005F5232">
        <w:tc>
          <w:tcPr>
            <w:tcW w:w="2155" w:type="dxa"/>
          </w:tcPr>
          <w:p w14:paraId="1D471459" w14:textId="77777777" w:rsidR="00861BC7" w:rsidRDefault="00861BC7" w:rsidP="005F5232">
            <w:r>
              <w:t>Key Reliability Question</w:t>
            </w:r>
          </w:p>
        </w:tc>
        <w:tc>
          <w:tcPr>
            <w:tcW w:w="7915" w:type="dxa"/>
          </w:tcPr>
          <w:p w14:paraId="4AE46D34" w14:textId="77777777" w:rsidR="00861BC7" w:rsidRDefault="00861BC7" w:rsidP="005F5232">
            <w:pPr>
              <w:pStyle w:val="ListBullet"/>
            </w:pPr>
          </w:p>
        </w:tc>
      </w:tr>
      <w:tr w:rsidR="00861BC7" w14:paraId="02A69D4F" w14:textId="77777777" w:rsidTr="005F5232">
        <w:tc>
          <w:tcPr>
            <w:tcW w:w="2155" w:type="dxa"/>
          </w:tcPr>
          <w:p w14:paraId="4637C797" w14:textId="77777777" w:rsidR="00861BC7" w:rsidRDefault="00861BC7" w:rsidP="005F5232">
            <w:r>
              <w:t>Relationship to WECC Near-Term Priorities (NTP)</w:t>
            </w:r>
          </w:p>
        </w:tc>
        <w:tc>
          <w:tcPr>
            <w:tcW w:w="7915" w:type="dxa"/>
          </w:tcPr>
          <w:p w14:paraId="64F0BD9A" w14:textId="77777777" w:rsidR="00861BC7" w:rsidRDefault="00861BC7" w:rsidP="005F5232"/>
        </w:tc>
      </w:tr>
      <w:tr w:rsidR="00861BC7" w14:paraId="5BD58E2B" w14:textId="77777777" w:rsidTr="005F5232">
        <w:tc>
          <w:tcPr>
            <w:tcW w:w="2155" w:type="dxa"/>
          </w:tcPr>
          <w:p w14:paraId="4CED8371" w14:textId="77777777" w:rsidR="00861BC7" w:rsidRDefault="00861BC7" w:rsidP="005F5232">
            <w:r>
              <w:t>Relationship to WECC Scenarios</w:t>
            </w:r>
          </w:p>
        </w:tc>
        <w:tc>
          <w:tcPr>
            <w:tcW w:w="7915" w:type="dxa"/>
          </w:tcPr>
          <w:p w14:paraId="4ED8522E" w14:textId="77777777" w:rsidR="00861BC7" w:rsidRDefault="00861BC7" w:rsidP="005F5232"/>
        </w:tc>
      </w:tr>
      <w:tr w:rsidR="00861BC7" w14:paraId="13998D91" w14:textId="77777777" w:rsidTr="005F5232">
        <w:tc>
          <w:tcPr>
            <w:tcW w:w="2155" w:type="dxa"/>
          </w:tcPr>
          <w:p w14:paraId="2ABBF132" w14:textId="77777777" w:rsidR="00861BC7" w:rsidRDefault="00861BC7" w:rsidP="005F5232">
            <w:r>
              <w:t>Potential Partners</w:t>
            </w:r>
          </w:p>
        </w:tc>
        <w:tc>
          <w:tcPr>
            <w:tcW w:w="7915" w:type="dxa"/>
          </w:tcPr>
          <w:p w14:paraId="0720E262" w14:textId="77777777" w:rsidR="00861BC7" w:rsidRDefault="00861BC7" w:rsidP="005F5232"/>
        </w:tc>
      </w:tr>
    </w:tbl>
    <w:p w14:paraId="1FEC34E3" w14:textId="77777777" w:rsidR="00861BC7" w:rsidRPr="00313937" w:rsidRDefault="00861BC7" w:rsidP="00861BC7"/>
    <w:sectPr w:rsidR="00861BC7" w:rsidRPr="00313937" w:rsidSect="009E523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4452" w14:textId="77777777" w:rsidR="00DE3521" w:rsidRDefault="00DE3521" w:rsidP="00997CD1">
      <w:pPr>
        <w:spacing w:after="0" w:line="240" w:lineRule="auto"/>
      </w:pPr>
      <w:r>
        <w:separator/>
      </w:r>
    </w:p>
  </w:endnote>
  <w:endnote w:type="continuationSeparator" w:id="0">
    <w:p w14:paraId="467EF344" w14:textId="77777777" w:rsidR="00DE3521" w:rsidRDefault="00DE3521" w:rsidP="0099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059A" w14:textId="77777777" w:rsidR="00997CD1" w:rsidRPr="00192ABC" w:rsidRDefault="00100BE7" w:rsidP="00100BE7">
    <w:pPr>
      <w:pStyle w:val="Footer"/>
      <w:jc w:val="center"/>
      <w:rPr>
        <w:b/>
        <w:smallCaps/>
        <w:color w:val="1F9DAF"/>
        <w:spacing w:val="150"/>
      </w:rPr>
    </w:pPr>
    <w:r w:rsidRPr="00192ABC">
      <w:rPr>
        <w:b/>
        <w:smallCaps/>
        <w:color w:val="1F9DAF"/>
        <w:spacing w:val="150"/>
      </w:rPr>
      <w:t>Western Electricity Coordinating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61EC6" w14:textId="77777777" w:rsidR="00E97E61" w:rsidRPr="009E5230" w:rsidRDefault="00715CBD" w:rsidP="009E5230">
    <w:pPr>
      <w:pStyle w:val="Footer"/>
      <w:contextualSpacing/>
      <w:jc w:val="right"/>
      <w:rPr>
        <w:smallCaps/>
        <w:color w:val="1F9DAF" w:themeColor="accent1"/>
      </w:rPr>
    </w:pPr>
    <w:r w:rsidRPr="009E5230">
      <w:rPr>
        <w:smallCaps/>
        <w:noProof/>
        <w:color w:val="1F9DAF" w:themeColor="accent1"/>
      </w:rPr>
      <w:drawing>
        <wp:anchor distT="0" distB="0" distL="114300" distR="114300" simplePos="0" relativeHeight="251658240" behindDoc="1" locked="0" layoutInCell="1" allowOverlap="1" wp14:anchorId="6E4E5A22" wp14:editId="4EE4CDED">
          <wp:simplePos x="0" y="0"/>
          <wp:positionH relativeFrom="column">
            <wp:posOffset>8890</wp:posOffset>
          </wp:positionH>
          <wp:positionV relativeFrom="paragraph">
            <wp:posOffset>50800</wp:posOffset>
          </wp:positionV>
          <wp:extent cx="2054544" cy="640080"/>
          <wp:effectExtent l="0" t="0" r="3175" b="7620"/>
          <wp:wrapNone/>
          <wp:docPr id="5" name="Picture 5" descr="C:\Users\hrasmussen\Desktop\WECC_Logo_NEW_tophea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asmussen\Desktop\WECC_Logo_NEW_topheav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544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230" w:rsidRPr="009E5230">
      <w:rPr>
        <w:smallCaps/>
        <w:color w:val="1F9DAF" w:themeColor="accent1"/>
      </w:rPr>
      <w:t>Western Electricity Coordinating Council</w:t>
    </w:r>
  </w:p>
  <w:p w14:paraId="52477462" w14:textId="77777777" w:rsidR="009E5230" w:rsidRPr="009E5230" w:rsidRDefault="009E5230" w:rsidP="009E5230">
    <w:pPr>
      <w:pStyle w:val="Footer"/>
      <w:contextualSpacing/>
      <w:jc w:val="right"/>
      <w:rPr>
        <w:color w:val="1F9DAF" w:themeColor="accent1"/>
      </w:rPr>
    </w:pPr>
    <w:r w:rsidRPr="009E5230">
      <w:rPr>
        <w:color w:val="1F9DAF" w:themeColor="accent1"/>
      </w:rPr>
      <w:t>155 North 400 West, Suite 200</w:t>
    </w:r>
  </w:p>
  <w:p w14:paraId="1A48C75E" w14:textId="77777777" w:rsidR="009E5230" w:rsidRPr="009E5230" w:rsidRDefault="009E5230" w:rsidP="009E5230">
    <w:pPr>
      <w:pStyle w:val="Footer"/>
      <w:contextualSpacing/>
      <w:jc w:val="right"/>
      <w:rPr>
        <w:color w:val="1F9DAF" w:themeColor="accent1"/>
      </w:rPr>
    </w:pPr>
    <w:r w:rsidRPr="009E5230">
      <w:rPr>
        <w:color w:val="1F9DAF" w:themeColor="accent1"/>
      </w:rPr>
      <w:t>Salt Lake City, Utah 84103-1114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A71C2" w14:textId="77777777" w:rsidR="00DE3521" w:rsidRDefault="00DE3521" w:rsidP="00997CD1">
      <w:pPr>
        <w:spacing w:after="0" w:line="240" w:lineRule="auto"/>
      </w:pPr>
      <w:r>
        <w:separator/>
      </w:r>
    </w:p>
  </w:footnote>
  <w:footnote w:type="continuationSeparator" w:id="0">
    <w:p w14:paraId="2752394E" w14:textId="77777777" w:rsidR="00DE3521" w:rsidRDefault="00DE3521" w:rsidP="0099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0254" w14:textId="7DD44469" w:rsidR="00997CD1" w:rsidRPr="00192ABC" w:rsidRDefault="00BD4435" w:rsidP="00715CBD">
    <w:pPr>
      <w:spacing w:after="0" w:line="240" w:lineRule="auto"/>
      <w:jc w:val="both"/>
      <w:rPr>
        <w:b/>
        <w:noProof/>
        <w:color w:val="1F9DAF"/>
      </w:rPr>
    </w:pPr>
    <w:r>
      <w:rPr>
        <w:b/>
        <w:color w:val="1F9DAF"/>
      </w:rPr>
      <w:t>2018-2019 Potential Reliability Assessments</w:t>
    </w:r>
    <w:r w:rsidR="00715CBD" w:rsidRPr="00192ABC">
      <w:rPr>
        <w:b/>
        <w:color w:val="1F9DAF"/>
      </w:rPr>
      <w:ptab w:relativeTo="margin" w:alignment="center" w:leader="none"/>
    </w:r>
    <w:r w:rsidR="00715CBD" w:rsidRPr="00192ABC">
      <w:rPr>
        <w:b/>
        <w:color w:val="1F9DAF"/>
      </w:rPr>
      <w:ptab w:relativeTo="margin" w:alignment="right" w:leader="none"/>
    </w:r>
    <w:r w:rsidR="00715CBD" w:rsidRPr="00192ABC">
      <w:rPr>
        <w:b/>
        <w:color w:val="1F9DAF"/>
      </w:rPr>
      <w:fldChar w:fldCharType="begin"/>
    </w:r>
    <w:r w:rsidR="00715CBD" w:rsidRPr="00192ABC">
      <w:rPr>
        <w:b/>
        <w:color w:val="1F9DAF"/>
      </w:rPr>
      <w:instrText xml:space="preserve"> PAGE   \* MERGEFORMAT </w:instrText>
    </w:r>
    <w:r w:rsidR="00715CBD" w:rsidRPr="00192ABC">
      <w:rPr>
        <w:b/>
        <w:color w:val="1F9DAF"/>
      </w:rPr>
      <w:fldChar w:fldCharType="separate"/>
    </w:r>
    <w:r w:rsidR="000A0A7D">
      <w:rPr>
        <w:b/>
        <w:noProof/>
        <w:color w:val="1F9DAF"/>
      </w:rPr>
      <w:t>8</w:t>
    </w:r>
    <w:r w:rsidR="00715CBD" w:rsidRPr="00192ABC">
      <w:rPr>
        <w:b/>
        <w:noProof/>
        <w:color w:val="1F9DAF"/>
      </w:rPr>
      <w:fldChar w:fldCharType="end"/>
    </w:r>
  </w:p>
  <w:p w14:paraId="41D02124" w14:textId="77777777" w:rsidR="00D6188A" w:rsidRPr="00E97E61" w:rsidRDefault="000A0A7D" w:rsidP="00715CBD">
    <w:pPr>
      <w:spacing w:after="0" w:line="240" w:lineRule="auto"/>
      <w:jc w:val="both"/>
      <w:rPr>
        <w:b/>
      </w:rPr>
    </w:pPr>
    <w:r>
      <w:rPr>
        <w:b/>
        <w:noProof/>
        <w:color w:val="1F9DAF"/>
      </w:rPr>
      <w:pict w14:anchorId="56604D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57.8pt;margin-top:236.65pt;width:412.4pt;height:247.45pt;rotation:315;z-index:-251655168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FC836" w14:textId="77777777" w:rsidR="00E97E61" w:rsidRPr="00887F8C" w:rsidRDefault="000A0A7D" w:rsidP="00887F8C">
    <w:pPr>
      <w:pStyle w:val="Header"/>
      <w:pBdr>
        <w:top w:val="single" w:sz="18" w:space="1" w:color="1F9DAF"/>
        <w:left w:val="single" w:sz="18" w:space="4" w:color="1F9DAF"/>
        <w:bottom w:val="single" w:sz="18" w:space="1" w:color="1F9DAF"/>
        <w:right w:val="single" w:sz="18" w:space="4" w:color="1F9DAF"/>
      </w:pBdr>
      <w:shd w:val="solid" w:color="1F9DAF" w:fill="1F9DAF"/>
      <w:jc w:val="right"/>
      <w:rPr>
        <w:b/>
        <w:color w:val="FFFFFF" w:themeColor="background1"/>
        <w:sz w:val="32"/>
        <w:szCs w:val="32"/>
      </w:rPr>
    </w:pPr>
    <w:sdt>
      <w:sdtPr>
        <w:rPr>
          <w:b/>
          <w:color w:val="FFFFFF" w:themeColor="background1"/>
          <w:sz w:val="32"/>
          <w:szCs w:val="32"/>
        </w:rPr>
        <w:id w:val="-553690819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FFFFFF" w:themeColor="background1"/>
            <w:sz w:val="32"/>
            <w:szCs w:val="32"/>
          </w:rPr>
          <w:pict w14:anchorId="477854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1690">
      <w:rPr>
        <w:b/>
        <w:color w:val="FFFFFF" w:themeColor="background1"/>
        <w:sz w:val="32"/>
        <w:szCs w:val="32"/>
      </w:rPr>
      <w:t>2018-2019 Study Program</w:t>
    </w:r>
  </w:p>
  <w:p w14:paraId="2D108633" w14:textId="77777777" w:rsidR="00E97E61" w:rsidRPr="009E5230" w:rsidRDefault="00B81690" w:rsidP="009E5230">
    <w:pPr>
      <w:pStyle w:val="Header"/>
      <w:pBdr>
        <w:top w:val="single" w:sz="18" w:space="1" w:color="1F9DAF"/>
        <w:left w:val="single" w:sz="18" w:space="4" w:color="1F9DAF"/>
        <w:bottom w:val="single" w:sz="18" w:space="1" w:color="1F9DAF"/>
        <w:right w:val="single" w:sz="18" w:space="4" w:color="1F9DAF"/>
      </w:pBdr>
      <w:shd w:val="solid" w:color="1F9DAF" w:fill="1F9DAF"/>
      <w:spacing w:before="0"/>
      <w:contextualSpacing/>
      <w:jc w:val="right"/>
      <w:rPr>
        <w:color w:val="FFFFFF" w:themeColor="background1"/>
        <w:sz w:val="32"/>
        <w:szCs w:val="32"/>
      </w:rPr>
    </w:pPr>
    <w:r>
      <w:rPr>
        <w:color w:val="FFFFFF" w:themeColor="background1"/>
        <w:sz w:val="32"/>
        <w:szCs w:val="32"/>
      </w:rPr>
      <w:t>DRAFT Potential Reliability Assessments</w:t>
    </w:r>
  </w:p>
  <w:p w14:paraId="6DF93069" w14:textId="4EA7D576" w:rsidR="00E97E61" w:rsidRPr="009E5230" w:rsidRDefault="00436FA4" w:rsidP="009E5230">
    <w:pPr>
      <w:pStyle w:val="Header"/>
      <w:pBdr>
        <w:top w:val="single" w:sz="18" w:space="1" w:color="1F9DAF"/>
        <w:left w:val="single" w:sz="18" w:space="4" w:color="1F9DAF"/>
        <w:bottom w:val="single" w:sz="18" w:space="1" w:color="1F9DAF"/>
        <w:right w:val="single" w:sz="18" w:space="4" w:color="1F9DAF"/>
      </w:pBdr>
      <w:shd w:val="solid" w:color="1F9DAF" w:fill="1F9DAF"/>
      <w:spacing w:before="0"/>
      <w:contextualSpacing/>
      <w:jc w:val="right"/>
      <w:rPr>
        <w:color w:val="FFFFFF" w:themeColor="background1"/>
        <w:sz w:val="32"/>
        <w:szCs w:val="32"/>
      </w:rPr>
    </w:pPr>
    <w:r>
      <w:rPr>
        <w:color w:val="FFFFFF" w:themeColor="background1"/>
        <w:sz w:val="32"/>
        <w:szCs w:val="32"/>
      </w:rPr>
      <w:t xml:space="preserve">August </w:t>
    </w:r>
    <w:r w:rsidR="00B81690">
      <w:rPr>
        <w:color w:val="FFFFFF" w:themeColor="background1"/>
        <w:sz w:val="32"/>
        <w:szCs w:val="32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14AC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A42E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D281BA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B6C2BC44"/>
    <w:lvl w:ilvl="0">
      <w:start w:val="1"/>
      <w:numFmt w:val="bullet"/>
      <w:pStyle w:val="ListBullet5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A495B0"/>
    <w:lvl w:ilvl="0">
      <w:start w:val="1"/>
      <w:numFmt w:val="bullet"/>
      <w:pStyle w:val="List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ECEB0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BE9A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429EC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5EF66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30542"/>
    <w:multiLevelType w:val="hybridMultilevel"/>
    <w:tmpl w:val="BEC88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D26BBA"/>
    <w:multiLevelType w:val="hybridMultilevel"/>
    <w:tmpl w:val="2088737E"/>
    <w:lvl w:ilvl="0" w:tplc="F434FF4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0179E"/>
    <w:multiLevelType w:val="hybridMultilevel"/>
    <w:tmpl w:val="97C289A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71B1C40"/>
    <w:multiLevelType w:val="hybridMultilevel"/>
    <w:tmpl w:val="16EEFB54"/>
    <w:lvl w:ilvl="0" w:tplc="512EA09C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90"/>
    <w:rsid w:val="00031AFB"/>
    <w:rsid w:val="00080BAD"/>
    <w:rsid w:val="00086AA6"/>
    <w:rsid w:val="000A0A7D"/>
    <w:rsid w:val="000A753D"/>
    <w:rsid w:val="000D6D80"/>
    <w:rsid w:val="000D70F2"/>
    <w:rsid w:val="000E61B1"/>
    <w:rsid w:val="00100BE7"/>
    <w:rsid w:val="0016710F"/>
    <w:rsid w:val="001877F0"/>
    <w:rsid w:val="00192ABC"/>
    <w:rsid w:val="00193D2D"/>
    <w:rsid w:val="00206B16"/>
    <w:rsid w:val="00277206"/>
    <w:rsid w:val="002972CE"/>
    <w:rsid w:val="002B6F8A"/>
    <w:rsid w:val="002C1F84"/>
    <w:rsid w:val="002E28D2"/>
    <w:rsid w:val="002F0D40"/>
    <w:rsid w:val="0030136D"/>
    <w:rsid w:val="00313937"/>
    <w:rsid w:val="00316D0D"/>
    <w:rsid w:val="00330B88"/>
    <w:rsid w:val="00334B2C"/>
    <w:rsid w:val="0034659C"/>
    <w:rsid w:val="00360450"/>
    <w:rsid w:val="00390EE4"/>
    <w:rsid w:val="00396900"/>
    <w:rsid w:val="003B7D4B"/>
    <w:rsid w:val="003F36B5"/>
    <w:rsid w:val="00420B9A"/>
    <w:rsid w:val="00436FA4"/>
    <w:rsid w:val="00452830"/>
    <w:rsid w:val="00453AC5"/>
    <w:rsid w:val="00480DDC"/>
    <w:rsid w:val="004810C7"/>
    <w:rsid w:val="00493781"/>
    <w:rsid w:val="004B7856"/>
    <w:rsid w:val="004E7BA4"/>
    <w:rsid w:val="00526332"/>
    <w:rsid w:val="00530E85"/>
    <w:rsid w:val="00553C2B"/>
    <w:rsid w:val="00557097"/>
    <w:rsid w:val="0058146E"/>
    <w:rsid w:val="005D0871"/>
    <w:rsid w:val="005D4224"/>
    <w:rsid w:val="005D578E"/>
    <w:rsid w:val="00610A9D"/>
    <w:rsid w:val="00622860"/>
    <w:rsid w:val="00627DD5"/>
    <w:rsid w:val="0064585B"/>
    <w:rsid w:val="00665290"/>
    <w:rsid w:val="00692C29"/>
    <w:rsid w:val="006A4459"/>
    <w:rsid w:val="006C1D96"/>
    <w:rsid w:val="006F2A54"/>
    <w:rsid w:val="0070117B"/>
    <w:rsid w:val="00703A15"/>
    <w:rsid w:val="00706E3B"/>
    <w:rsid w:val="00715CBD"/>
    <w:rsid w:val="00726300"/>
    <w:rsid w:val="00732470"/>
    <w:rsid w:val="00782E3B"/>
    <w:rsid w:val="0081635B"/>
    <w:rsid w:val="008362A0"/>
    <w:rsid w:val="008447D7"/>
    <w:rsid w:val="00860C9D"/>
    <w:rsid w:val="00861BC7"/>
    <w:rsid w:val="00865CA9"/>
    <w:rsid w:val="008775F2"/>
    <w:rsid w:val="00887F8C"/>
    <w:rsid w:val="008A2E8E"/>
    <w:rsid w:val="008B74F4"/>
    <w:rsid w:val="008F2A51"/>
    <w:rsid w:val="00906DC3"/>
    <w:rsid w:val="00914D44"/>
    <w:rsid w:val="009764E4"/>
    <w:rsid w:val="00984076"/>
    <w:rsid w:val="00997CD1"/>
    <w:rsid w:val="009E3618"/>
    <w:rsid w:val="009E5230"/>
    <w:rsid w:val="00A011FA"/>
    <w:rsid w:val="00A17FAC"/>
    <w:rsid w:val="00A534C3"/>
    <w:rsid w:val="00A53998"/>
    <w:rsid w:val="00A60B09"/>
    <w:rsid w:val="00A711C6"/>
    <w:rsid w:val="00A86176"/>
    <w:rsid w:val="00AA1439"/>
    <w:rsid w:val="00AB0872"/>
    <w:rsid w:val="00AB4230"/>
    <w:rsid w:val="00AF5282"/>
    <w:rsid w:val="00B2004E"/>
    <w:rsid w:val="00B4025C"/>
    <w:rsid w:val="00B44F98"/>
    <w:rsid w:val="00B52DFF"/>
    <w:rsid w:val="00B751C9"/>
    <w:rsid w:val="00B81690"/>
    <w:rsid w:val="00B8601B"/>
    <w:rsid w:val="00BA3550"/>
    <w:rsid w:val="00BB49FA"/>
    <w:rsid w:val="00BD4435"/>
    <w:rsid w:val="00BD45A7"/>
    <w:rsid w:val="00BF0D5D"/>
    <w:rsid w:val="00C7164C"/>
    <w:rsid w:val="00C905C0"/>
    <w:rsid w:val="00CD455F"/>
    <w:rsid w:val="00CD5C2D"/>
    <w:rsid w:val="00CF1559"/>
    <w:rsid w:val="00CF787C"/>
    <w:rsid w:val="00D20881"/>
    <w:rsid w:val="00D22868"/>
    <w:rsid w:val="00D32EA9"/>
    <w:rsid w:val="00D370BD"/>
    <w:rsid w:val="00D6188A"/>
    <w:rsid w:val="00D64360"/>
    <w:rsid w:val="00DE3521"/>
    <w:rsid w:val="00DF6A27"/>
    <w:rsid w:val="00E665C0"/>
    <w:rsid w:val="00E97E61"/>
    <w:rsid w:val="00EA1C2D"/>
    <w:rsid w:val="00EA43F8"/>
    <w:rsid w:val="00EA5CE9"/>
    <w:rsid w:val="00EB2321"/>
    <w:rsid w:val="00EE26CF"/>
    <w:rsid w:val="00EE38BC"/>
    <w:rsid w:val="00EF35E7"/>
    <w:rsid w:val="00F07D29"/>
    <w:rsid w:val="00F521FC"/>
    <w:rsid w:val="00F611DE"/>
    <w:rsid w:val="00F6624F"/>
    <w:rsid w:val="00F87FB1"/>
    <w:rsid w:val="00F92CA3"/>
    <w:rsid w:val="00FA0E39"/>
    <w:rsid w:val="00FA7D06"/>
    <w:rsid w:val="00FC423E"/>
    <w:rsid w:val="00FE0994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550971"/>
  <w15:docId w15:val="{2DCC9470-910D-4610-B406-47EF463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230"/>
    <w:pPr>
      <w:suppressAutoHyphens/>
      <w:spacing w:before="120"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E3B"/>
    <w:pPr>
      <w:keepNext/>
      <w:keepLines/>
      <w:pBdr>
        <w:bottom w:val="single" w:sz="12" w:space="1" w:color="414042"/>
      </w:pBdr>
      <w:spacing w:before="240"/>
      <w:outlineLvl w:val="0"/>
    </w:pPr>
    <w:rPr>
      <w:rFonts w:ascii="Calibri" w:eastAsiaTheme="majorEastAsia" w:hAnsi="Calibri" w:cstheme="majorBidi"/>
      <w:b/>
      <w:bCs/>
      <w:color w:val="1018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0F"/>
    <w:pPr>
      <w:keepNext/>
      <w:keepLines/>
      <w:pBdr>
        <w:bottom w:val="single" w:sz="6" w:space="1" w:color="414042"/>
      </w:pBdr>
      <w:spacing w:before="240"/>
      <w:outlineLvl w:val="1"/>
    </w:pPr>
    <w:rPr>
      <w:rFonts w:ascii="Calibri" w:eastAsiaTheme="majorEastAsia" w:hAnsi="Calibri" w:cstheme="majorBidi"/>
      <w:b/>
      <w:bCs/>
      <w:color w:val="1018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A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A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3B"/>
    <w:rPr>
      <w:rFonts w:ascii="Calibri" w:eastAsiaTheme="majorEastAsia" w:hAnsi="Calibri" w:cstheme="majorBidi"/>
      <w:b/>
      <w:bCs/>
      <w:color w:val="1018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710F"/>
    <w:rPr>
      <w:rFonts w:ascii="Calibri" w:eastAsiaTheme="majorEastAsia" w:hAnsi="Calibri" w:cstheme="majorBidi"/>
      <w:b/>
      <w:bCs/>
      <w:color w:val="10182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sid w:val="005D578E"/>
    <w:rPr>
      <w:color w:val="0070C0"/>
      <w:u w:val="none"/>
    </w:rPr>
  </w:style>
  <w:style w:type="paragraph" w:styleId="Header">
    <w:name w:val="header"/>
    <w:basedOn w:val="Normal"/>
    <w:link w:val="HeaderChar"/>
    <w:uiPriority w:val="99"/>
    <w:unhideWhenUsed/>
    <w:rsid w:val="0099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CD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97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CD1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D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92ABC"/>
    <w:rPr>
      <w:rFonts w:eastAsiaTheme="majorEastAsia" w:cstheme="majorBidi"/>
      <w:b/>
      <w:bCs/>
      <w:color w:val="000000" w:themeColor="text1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0A75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753D"/>
    <w:rPr>
      <w:i/>
      <w:iCs/>
      <w:color w:val="000000" w:themeColor="text1"/>
      <w:sz w:val="24"/>
    </w:rPr>
  </w:style>
  <w:style w:type="paragraph" w:styleId="ListParagraph">
    <w:name w:val="List Paragraph"/>
    <w:basedOn w:val="Normal"/>
    <w:uiPriority w:val="34"/>
    <w:rsid w:val="000A753D"/>
    <w:pPr>
      <w:numPr>
        <w:numId w:val="1"/>
      </w:numPr>
      <w:ind w:left="720" w:firstLine="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92ABC"/>
    <w:rPr>
      <w:rFonts w:eastAsiaTheme="majorEastAsia" w:cstheme="majorBidi"/>
      <w:b/>
      <w:bCs/>
      <w:i/>
      <w:iCs/>
      <w:sz w:val="26"/>
    </w:rPr>
  </w:style>
  <w:style w:type="paragraph" w:styleId="ListNumber">
    <w:name w:val="List Number"/>
    <w:basedOn w:val="Normal"/>
    <w:uiPriority w:val="99"/>
    <w:unhideWhenUsed/>
    <w:qFormat/>
    <w:rsid w:val="00EA1C2D"/>
    <w:pPr>
      <w:numPr>
        <w:numId w:val="8"/>
      </w:numPr>
      <w:spacing w:after="60"/>
      <w:ind w:left="720"/>
    </w:pPr>
  </w:style>
  <w:style w:type="paragraph" w:styleId="ListBullet">
    <w:name w:val="List Bullet"/>
    <w:basedOn w:val="Normal"/>
    <w:uiPriority w:val="99"/>
    <w:unhideWhenUsed/>
    <w:qFormat/>
    <w:rsid w:val="00861BC7"/>
    <w:pPr>
      <w:numPr>
        <w:numId w:val="3"/>
      </w:numPr>
      <w:ind w:left="720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192ABC"/>
    <w:p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53C2B"/>
    <w:pPr>
      <w:spacing w:line="240" w:lineRule="auto"/>
      <w:contextualSpacing/>
      <w:jc w:val="center"/>
    </w:pPr>
    <w:rPr>
      <w:b/>
      <w:bCs/>
      <w:color w:val="000000" w:themeColor="text1"/>
      <w:sz w:val="20"/>
      <w:szCs w:val="18"/>
    </w:rPr>
  </w:style>
  <w:style w:type="paragraph" w:styleId="ListBullet2">
    <w:name w:val="List Bullet 2"/>
    <w:basedOn w:val="Normal"/>
    <w:uiPriority w:val="99"/>
    <w:unhideWhenUsed/>
    <w:rsid w:val="00EA1C2D"/>
    <w:pPr>
      <w:numPr>
        <w:numId w:val="13"/>
      </w:numPr>
      <w:ind w:left="1080"/>
      <w:contextualSpacing/>
    </w:pPr>
  </w:style>
  <w:style w:type="paragraph" w:styleId="ListBullet3">
    <w:name w:val="List Bullet 3"/>
    <w:basedOn w:val="Normal"/>
    <w:uiPriority w:val="99"/>
    <w:unhideWhenUsed/>
    <w:rsid w:val="00EA1C2D"/>
    <w:pPr>
      <w:numPr>
        <w:numId w:val="5"/>
      </w:numPr>
      <w:ind w:left="1440"/>
      <w:contextualSpacing/>
    </w:pPr>
  </w:style>
  <w:style w:type="paragraph" w:styleId="ListBullet4">
    <w:name w:val="List Bullet 4"/>
    <w:basedOn w:val="Normal"/>
    <w:uiPriority w:val="99"/>
    <w:unhideWhenUsed/>
    <w:rsid w:val="00EA1C2D"/>
    <w:pPr>
      <w:numPr>
        <w:numId w:val="6"/>
      </w:numPr>
      <w:tabs>
        <w:tab w:val="clear" w:pos="1440"/>
      </w:tabs>
      <w:ind w:left="1800"/>
      <w:contextualSpacing/>
    </w:pPr>
  </w:style>
  <w:style w:type="paragraph" w:styleId="ListBullet5">
    <w:name w:val="List Bullet 5"/>
    <w:basedOn w:val="Normal"/>
    <w:uiPriority w:val="99"/>
    <w:unhideWhenUsed/>
    <w:rsid w:val="00EA1C2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EA1C2D"/>
    <w:pPr>
      <w:contextualSpacing/>
    </w:pPr>
  </w:style>
  <w:style w:type="paragraph" w:styleId="ListNumber3">
    <w:name w:val="List Number 3"/>
    <w:basedOn w:val="Normal"/>
    <w:uiPriority w:val="99"/>
    <w:unhideWhenUsed/>
    <w:rsid w:val="00EA1C2D"/>
    <w:pPr>
      <w:numPr>
        <w:numId w:val="10"/>
      </w:numPr>
      <w:ind w:left="1620"/>
      <w:contextualSpacing/>
    </w:pPr>
  </w:style>
  <w:style w:type="paragraph" w:styleId="ListNumber4">
    <w:name w:val="List Number 4"/>
    <w:basedOn w:val="Normal"/>
    <w:uiPriority w:val="99"/>
    <w:unhideWhenUsed/>
    <w:rsid w:val="00EA1C2D"/>
    <w:pPr>
      <w:numPr>
        <w:numId w:val="11"/>
      </w:numPr>
      <w:tabs>
        <w:tab w:val="clear" w:pos="1440"/>
      </w:tabs>
      <w:ind w:left="1800"/>
      <w:contextualSpacing/>
    </w:pPr>
  </w:style>
  <w:style w:type="paragraph" w:styleId="ListNumber5">
    <w:name w:val="List Number 5"/>
    <w:basedOn w:val="Normal"/>
    <w:uiPriority w:val="99"/>
    <w:unhideWhenUsed/>
    <w:rsid w:val="00EA1C2D"/>
    <w:pPr>
      <w:numPr>
        <w:numId w:val="12"/>
      </w:numPr>
      <w:tabs>
        <w:tab w:val="clear" w:pos="1800"/>
      </w:tabs>
      <w:ind w:left="2160"/>
      <w:contextualSpacing/>
    </w:pPr>
  </w:style>
  <w:style w:type="paragraph" w:customStyle="1" w:styleId="Issue">
    <w:name w:val="Issue"/>
    <w:basedOn w:val="Heading3"/>
    <w:next w:val="ReliabilityQuestion"/>
    <w:qFormat/>
    <w:rsid w:val="00B81690"/>
    <w:pPr>
      <w:ind w:left="1440" w:hanging="1440"/>
    </w:pPr>
  </w:style>
  <w:style w:type="paragraph" w:customStyle="1" w:styleId="ReliabilityQuestion">
    <w:name w:val="Reliability Question"/>
    <w:basedOn w:val="Normal"/>
    <w:next w:val="ReliabilityQuestionBullet"/>
    <w:qFormat/>
    <w:rsid w:val="00B81690"/>
    <w:pPr>
      <w:ind w:left="1440" w:hanging="1440"/>
    </w:pPr>
    <w:rPr>
      <w:i/>
    </w:rPr>
  </w:style>
  <w:style w:type="paragraph" w:customStyle="1" w:styleId="ReliabilityQuestionBullet">
    <w:name w:val="Reliability Question Bullet"/>
    <w:basedOn w:val="ListBullet"/>
    <w:qFormat/>
    <w:rsid w:val="00B81690"/>
    <w:pPr>
      <w:ind w:left="2160"/>
    </w:pPr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BA3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5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3618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AB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Basic.Documents.dotx" TargetMode="External"/></Relationships>
</file>

<file path=word/theme/theme1.xml><?xml version="1.0" encoding="utf-8"?>
<a:theme xmlns:a="http://schemas.openxmlformats.org/drawingml/2006/main" name="2014 WECC Theme">
  <a:themeElements>
    <a:clrScheme name="2014 WECC Color">
      <a:dk1>
        <a:srgbClr val="000000"/>
      </a:dk1>
      <a:lt1>
        <a:srgbClr val="FFFFFF"/>
      </a:lt1>
      <a:dk2>
        <a:srgbClr val="414042"/>
      </a:dk2>
      <a:lt2>
        <a:srgbClr val="FFFFFF"/>
      </a:lt2>
      <a:accent1>
        <a:srgbClr val="1F9DAF"/>
      </a:accent1>
      <a:accent2>
        <a:srgbClr val="76C043"/>
      </a:accent2>
      <a:accent3>
        <a:srgbClr val="FFFF49"/>
      </a:accent3>
      <a:accent4>
        <a:srgbClr val="FF7800"/>
      </a:accent4>
      <a:accent5>
        <a:srgbClr val="FF3534"/>
      </a:accent5>
      <a:accent6>
        <a:srgbClr val="3D58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F9DA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ther Reliability Documents" ma:contentTypeID="0x010100E45EF0F8AAA65E428351BA36F1B645BE1200CA280BBE04EF434C8DECBE67FD58A074" ma:contentTypeVersion="10" ma:contentTypeDescription="" ma:contentTypeScope="" ma:versionID="c2434c7e036fbdb00d76290cd9c6396c">
  <xsd:schema xmlns:xsd="http://www.w3.org/2001/XMLSchema" xmlns:xs="http://www.w3.org/2001/XMLSchema" xmlns:p="http://schemas.microsoft.com/office/2006/metadata/properties" xmlns:ns2="2fb8a92a-9032-49d6-b983-191f0a73b01f" xmlns:ns3="4bd63098-0c83-43cf-abdd-085f2cc55a51" targetNamespace="http://schemas.microsoft.com/office/2006/metadata/properties" ma:root="true" ma:fieldsID="7f3a7fd941f69af4be576b57cbcc2582" ns2:_="" ns3:_="">
    <xsd:import namespace="2fb8a92a-9032-49d6-b983-191f0a73b01f"/>
    <xsd:import namespace="4bd63098-0c83-43cf-abdd-085f2cc55a51"/>
    <xsd:element name="properties">
      <xsd:complexType>
        <xsd:sequence>
          <xsd:element name="documentManagement">
            <xsd:complexType>
              <xsd:all>
                <xsd:element ref="ns2:Document_x0020_Categorization_x0020_Policy"/>
                <xsd:element ref="ns2:Owner_x0020_Group" minOccurs="0"/>
                <xsd:element ref="ns2:Committee" minOccurs="0"/>
                <xsd:element ref="ns2:WECC_x0020_Status" minOccurs="0"/>
                <xsd:element ref="ns2:Privacy"/>
                <xsd:element ref="ns2:Adopted_x002f_Approved_x0020_By" minOccurs="0"/>
                <xsd:element ref="ns2:Other_x0020_Reliability_x0020_Documents" minOccurs="0"/>
                <xsd:element ref="ns2:Jurisdiction" minOccurs="0"/>
                <xsd:element ref="ns2:Standard_x0020_Family" minOccurs="0"/>
                <xsd:element ref="ns3:TaxKeywordTaxHTField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Event_x0020_ID" minOccurs="0"/>
                <xsd:element ref="ns3:Approv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a92a-9032-49d6-b983-191f0a73b01f" elementFormDefault="qualified">
    <xsd:import namespace="http://schemas.microsoft.com/office/2006/documentManagement/types"/>
    <xsd:import namespace="http://schemas.microsoft.com/office/infopath/2007/PartnerControls"/>
    <xsd:element name="Document_x0020_Categorization_x0020_Policy" ma:index="8" ma:displayName="WECC Categorization Policy" ma:default="N/A" ma:format="Dropdown" ma:internalName="Document_x0020_Categorization_x0020_Policy">
      <xsd:simpleType>
        <xsd:restriction base="dms:Choice">
          <xsd:enumeration value="N/A"/>
          <xsd:enumeration value="Charter"/>
          <xsd:enumeration value="Guideline"/>
          <xsd:enumeration value="Policy"/>
          <xsd:enumeration value="Regional Criteria"/>
          <xsd:enumeration value="Regional Reliability Standard"/>
          <xsd:enumeration value="Report or Other"/>
        </xsd:restriction>
      </xsd:simpleType>
    </xsd:element>
    <xsd:element name="Owner_x0020_Group" ma:index="9" nillable="true" ma:displayName="Owner Group" ma:internalName="Owner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ompliance Open Webinars"/>
                    <xsd:enumeration value="Compliance Workshop"/>
                    <xsd:enumeration value="Event Analysis &amp; Situational Awareness"/>
                    <xsd:enumeration value="General &amp; Administrative"/>
                    <xsd:enumeration value="Human Resources"/>
                    <xsd:enumeration value="Information Technology"/>
                    <xsd:enumeration value="Legal &amp; Regulatory"/>
                    <xsd:enumeration value="Operations Performance Analysis"/>
                    <xsd:enumeration value="Performance Analysis"/>
                    <xsd:enumeration value="Planning Services"/>
                    <xsd:enumeration value="Registration and Certification"/>
                    <xsd:enumeration value="Reliability Assessment"/>
                    <xsd:enumeration value="Reliability Standards"/>
                    <xsd:enumeration value="Resource Adequacy"/>
                    <xsd:enumeration value="System Adequacy Planning"/>
                    <xsd:enumeration value="System Stability Planning"/>
                    <xsd:enumeration value="Training &amp; Education"/>
                    <xsd:enumeration value="Transmission Expansion Planning"/>
                    <xsd:enumeration value="WREGIS"/>
                  </xsd:restriction>
                </xsd:simpleType>
              </xsd:element>
            </xsd:sequence>
          </xsd:extension>
        </xsd:complexContent>
      </xsd:complexType>
    </xsd:element>
    <xsd:element name="Committee" ma:index="10" nillable="true" ma:displayName="Committee" ma:internalName="Committ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FTF"/>
                    <xsd:enumeration value="BOD"/>
                    <xsd:enumeration value="CIMTF"/>
                    <xsd:enumeration value="CSF"/>
                    <xsd:enumeration value="DEEMSF"/>
                    <xsd:enumeration value="EPAS"/>
                    <xsd:enumeration value="ESF"/>
                    <xsd:enumeration value="FAC"/>
                    <xsd:enumeration value="GC"/>
                    <xsd:enumeration value="GOPF"/>
                    <xsd:enumeration value="HPF"/>
                    <xsd:enumeration value="HRCC"/>
                    <xsd:enumeration value="ISEAS"/>
                    <xsd:enumeration value="JGC"/>
                    <xsd:enumeration value="LPTF"/>
                    <xsd:enumeration value="MAC"/>
                    <xsd:enumeration value="MBS"/>
                    <xsd:enumeration value="MVS"/>
                    <xsd:enumeration value="NC"/>
                    <xsd:enumeration value="OAWG"/>
                    <xsd:enumeration value="PCDS"/>
                    <xsd:enumeration value="PCS"/>
                    <xsd:enumeration value="PS"/>
                    <xsd:enumeration value="PSF"/>
                    <xsd:enumeration value="RAAG"/>
                    <xsd:enumeration value="RAC"/>
                    <xsd:enumeration value="RASRS"/>
                    <xsd:enumeration value="RRC"/>
                    <xsd:enumeration value="S4.9RC"/>
                    <xsd:enumeration value="SCMS"/>
                    <xsd:enumeration value="SRS"/>
                    <xsd:enumeration value="StS"/>
                    <xsd:enumeration value="TCOMS"/>
                    <xsd:enumeration value="UFLSWG"/>
                    <xsd:enumeration value="WREGIS"/>
                    <xsd:enumeration value="WREGIS-SAC"/>
                    <xsd:enumeration value="WSC"/>
                  </xsd:restriction>
                </xsd:simpleType>
              </xsd:element>
            </xsd:sequence>
          </xsd:extension>
        </xsd:complexContent>
      </xsd:complexType>
    </xsd:element>
    <xsd:element name="WECC_x0020_Status" ma:index="11" nillable="true" ma:displayName="WECC Status" ma:format="Dropdown" ma:internalName="WECC_x0020_Status" ma:readOnly="false">
      <xsd:simpleType>
        <xsd:restriction base="dms:Choice">
          <xsd:enumeration value="Draft"/>
          <xsd:enumeration value="Approval Item"/>
          <xsd:enumeration value="In Review"/>
          <xsd:enumeration value="Approved/Final"/>
          <xsd:enumeration value="Retired"/>
          <xsd:enumeration value="Replaced"/>
          <xsd:enumeration value="Redline"/>
          <xsd:enumeration value="Active"/>
          <xsd:enumeration value="Closed"/>
          <xsd:enumeration value="Hold"/>
        </xsd:restriction>
      </xsd:simpleType>
    </xsd:element>
    <xsd:element name="Privacy" ma:index="12" ma:displayName="Privacy" ma:format="Dropdown" ma:internalName="Privacy">
      <xsd:simpleType>
        <xsd:restriction base="dms:Choice">
          <xsd:enumeration value="Public"/>
          <xsd:enumeration value="Authenticated"/>
          <xsd:enumeration value="Base Cases"/>
          <xsd:enumeration value="NDA"/>
          <xsd:enumeration value="PSLF"/>
          <xsd:enumeration value="RAS OR GMD"/>
          <xsd:enumeration value="WECC Members"/>
        </xsd:restriction>
      </xsd:simpleType>
    </xsd:element>
    <xsd:element name="Adopted_x002f_Approved_x0020_By" ma:index="13" nillable="true" ma:displayName="Adopted/Approved By" ma:format="Dropdown" ma:internalName="Adopted_x002F_Approved_x0020_By" ma:readOnly="false">
      <xsd:simpleType>
        <xsd:restriction base="dms:Choice">
          <xsd:enumeration value="…"/>
          <xsd:enumeration value="ATFWG"/>
          <xsd:enumeration value="ATSMWG"/>
          <xsd:enumeration value="BOD"/>
          <xsd:enumeration value="BPSPRTF"/>
          <xsd:enumeration value="CIMTF"/>
          <xsd:enumeration value="CSWG"/>
          <xsd:enumeration value="DDMWG"/>
          <xsd:enumeration value="DEMSWG"/>
          <xsd:enumeration value="EDTF"/>
          <xsd:enumeration value="EPAS"/>
          <xsd:enumeration value="ESCTF"/>
          <xsd:enumeration value="ESMTF"/>
          <xsd:enumeration value="ESOTF"/>
          <xsd:enumeration value="ESTF"/>
          <xsd:enumeration value="FAC"/>
          <xsd:enumeration value="GC"/>
          <xsd:enumeration value="GOWG"/>
          <xsd:enumeration value="HPEAWG"/>
          <xsd:enumeration value="HPKTTF"/>
          <xsd:enumeration value="HPMMTF"/>
          <xsd:enumeration value="HPWG"/>
          <xsd:enumeration value="HRCC"/>
          <xsd:enumeration value="ISAS"/>
          <xsd:enumeration value="JGC"/>
          <xsd:enumeration value="JSIS"/>
          <xsd:enumeration value="LMWG"/>
          <xsd:enumeration value="LRTF"/>
          <xsd:enumeration value="MAC"/>
          <xsd:enumeration value="MIC"/>
          <xsd:enumeration value="MRAWG"/>
          <xsd:enumeration value="MVS"/>
          <xsd:enumeration value="NC"/>
          <xsd:enumeration value="OAWG"/>
          <xsd:enumeration value="OC"/>
          <xsd:enumeration value="PCDS"/>
          <xsd:enumeration value="PCMS"/>
          <xsd:enumeration value="PPMVDWG"/>
          <xsd:enumeration value="PRPTF"/>
          <xsd:enumeration value="PSWG"/>
          <xsd:enumeration value="PWG"/>
          <xsd:enumeration value="RAC"/>
          <xsd:enumeration value="RASRS"/>
          <xsd:enumeration value="REMWG"/>
          <xsd:enumeration value="RWG"/>
          <xsd:enumeration value="S49RC"/>
          <xsd:enumeration value="SASMS"/>
          <xsd:enumeration value="SCMWG"/>
          <xsd:enumeration value="SETF"/>
          <xsd:enumeration value="SEWG"/>
          <xsd:enumeration value="SPWG"/>
          <xsd:enumeration value="SRS"/>
          <xsd:enumeration value="StS"/>
          <xsd:enumeration value="SWG"/>
          <xsd:enumeration value="TELWG"/>
          <xsd:enumeration value="TSAWG"/>
          <xsd:enumeration value="UFLSWG"/>
          <xsd:enumeration value="WREGIS"/>
          <xsd:enumeration value="WREGIS-SAC"/>
          <xsd:enumeration value="WSC"/>
        </xsd:restriction>
      </xsd:simpleType>
    </xsd:element>
    <xsd:element name="Other_x0020_Reliability_x0020_Documents" ma:index="14" nillable="true" ma:displayName="Other Reliability Documents" ma:format="Dropdown" ma:internalName="Other_x0020_Reliability_x0020_Documents" ma:readOnly="false">
      <xsd:simpleType>
        <xsd:restriction base="dms:Choice">
          <xsd:enumeration value="..."/>
          <xsd:enumeration value="Best Practices"/>
          <xsd:enumeration value="Checklist"/>
          <xsd:enumeration value="Methodology"/>
          <xsd:enumeration value="Misoperations"/>
          <xsd:enumeration value="Protocol"/>
          <xsd:enumeration value="Workflow"/>
        </xsd:restriction>
      </xsd:simpleType>
    </xsd:element>
    <xsd:element name="Jurisdiction" ma:index="15" nillable="true" ma:displayName="Jurisdiction" ma:default="US (United States)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(United States)"/>
                    <xsd:enumeration value="AB (Alberta)"/>
                    <xsd:enumeration value="BC (British Columbia)"/>
                    <xsd:enumeration value="MX (Baja Mexico)"/>
                  </xsd:restriction>
                </xsd:simpleType>
              </xsd:element>
            </xsd:sequence>
          </xsd:extension>
        </xsd:complexContent>
      </xsd:complexType>
    </xsd:element>
    <xsd:element name="Standard_x0020_Family" ma:index="16" nillable="true" ma:displayName="Standard Family" ma:format="Dropdown" ma:internalName="Standard_x0020_Family">
      <xsd:simpleType>
        <xsd:restriction base="dms:Choice">
          <xsd:enumeration value="BAL"/>
          <xsd:enumeration value="CIP"/>
          <xsd:enumeration value="COM"/>
          <xsd:enumeration value="EOP"/>
          <xsd:enumeration value="FAC"/>
          <xsd:enumeration value="INT"/>
          <xsd:enumeration value="IRO"/>
          <xsd:enumeration value="MOD"/>
          <xsd:enumeration value="NUC"/>
          <xsd:enumeration value="PER"/>
          <xsd:enumeration value="PRC"/>
          <xsd:enumeration value="TOP"/>
          <xsd:enumeration value="TPL"/>
          <xsd:enumeration value="V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3098-0c83-43cf-abdd-085f2cc55a5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af747698-1922-4602-8604-6fec0d9c99b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16224b44-889d-4166-9284-f04ddcafbdf4}" ma:internalName="TaxCatchAll" ma:showField="CatchAllData" ma:web="4bd63098-0c83-43cf-abdd-085f2cc5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vent_x0020_ID" ma:index="23" nillable="true" ma:displayName="Calendar Event ID" ma:internalName="Event_x0020_ID">
      <xsd:simpleType>
        <xsd:restriction base="dms:Note">
          <xsd:maxLength value="255"/>
        </xsd:restriction>
      </xsd:simpleType>
    </xsd:element>
    <xsd:element name="Approver" ma:index="24" ma:displayName="Approver" ma:list="UserInfo" ma:SharePointGroup="4815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ization_x0020_Policy xmlns="2fb8a92a-9032-49d6-b983-191f0a73b01f">N/A</Document_x0020_Categorization_x0020_Policy>
    <TaxCatchAll xmlns="4bd63098-0c83-43cf-abdd-085f2cc55a51">
      <Value>1356</Value>
    </TaxCatchAll>
    <Privacy xmlns="2fb8a92a-9032-49d6-b983-191f0a73b01f">Public</Privacy>
    <Event_x0020_ID xmlns="4bd63098-0c83-43cf-abdd-085f2cc55a51" xsi:nil="true"/>
    <Committee xmlns="2fb8a92a-9032-49d6-b983-191f0a73b01f">
      <Value>StS</Value>
    </Committee>
    <WECC_x0020_Status xmlns="2fb8a92a-9032-49d6-b983-191f0a73b01f">Draft</WECC_x0020_Status>
    <Owner_x0020_Group xmlns="2fb8a92a-9032-49d6-b983-191f0a73b01f">
      <Value>System Adequacy Planning</Value>
      <Value>System Stability Planning</Value>
    </Owner_x0020_Group>
    <TaxKeywordTaxHTField xmlns="4bd63098-0c83-43cf-abdd-085f2cc55a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Discussion Item</TermName>
          <TermId xmlns="http://schemas.microsoft.com/office/infopath/2007/PartnerControls">11aaba44-e1ec-4e15-aa2d-d346ddfd60a2</TermId>
        </TermInfo>
      </Terms>
    </TaxKeywordTaxHTField>
    <_dlc_DocId xmlns="4bd63098-0c83-43cf-abdd-085f2cc55a51">YWEQ7USXTMD7-3-8693</_dlc_DocId>
    <_dlc_DocIdUrl xmlns="4bd63098-0c83-43cf-abdd-085f2cc55a51">
      <Url>https://www.wecc.org/_layouts/15/DocIdRedir.aspx?ID=YWEQ7USXTMD7-3-8693</Url>
      <Description>YWEQ7USXTMD7-3-8693</Description>
    </_dlc_DocIdUrl>
    <Jurisdiction xmlns="2fb8a92a-9032-49d6-b983-191f0a73b01f"/>
    <Standard_x0020_Family xmlns="2fb8a92a-9032-49d6-b983-191f0a73b01f" xsi:nil="true"/>
    <Other_x0020_Reliability_x0020_Documents xmlns="2fb8a92a-9032-49d6-b983-191f0a73b01f" xsi:nil="true"/>
    <Adopted_x002f_Approved_x0020_By xmlns="2fb8a92a-9032-49d6-b983-191f0a73b01f" xsi:nil="true"/>
    <Approver xmlns="4bd63098-0c83-43cf-abdd-085f2cc55a51">
      <UserInfo>
        <DisplayName/>
        <AccountId/>
        <AccountType/>
      </UserInfo>
    </Approv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9774-6181-49D4-9C40-DBB9DFE62FD7}"/>
</file>

<file path=customXml/itemProps2.xml><?xml version="1.0" encoding="utf-8"?>
<ds:datastoreItem xmlns:ds="http://schemas.openxmlformats.org/officeDocument/2006/customXml" ds:itemID="{B5BBB012-9BDD-4AAA-98FD-84E6052FF6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1A0CF0-F256-4591-84AC-AD3A96682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1B1DB-3FE7-40F9-945F-5CFE8AA30E0F}">
  <ds:schemaRefs>
    <ds:schemaRef ds:uri="http://purl.org/dc/elements/1.1/"/>
    <ds:schemaRef ds:uri="4bd63098-0c83-43cf-abdd-085f2cc55a51"/>
    <ds:schemaRef ds:uri="http://schemas.microsoft.com/office/2006/metadata/properties"/>
    <ds:schemaRef ds:uri="http://purl.org/dc/terms/"/>
    <ds:schemaRef ds:uri="2fb8a92a-9032-49d6-b983-191f0a73b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84849B-053A-4612-BE64-310A184E8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Basic.Documents</Template>
  <TotalTime>47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WECC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Potential Reliability Assessment Issues</dc:title>
  <dc:creator>Woertz, Byron</dc:creator>
  <cp:keywords>Discussion Item</cp:keywords>
  <cp:lastModifiedBy>Woertz, Byron</cp:lastModifiedBy>
  <cp:revision>6</cp:revision>
  <cp:lastPrinted>2018-07-31T19:02:00Z</cp:lastPrinted>
  <dcterms:created xsi:type="dcterms:W3CDTF">2018-08-06T11:12:00Z</dcterms:created>
  <dcterms:modified xsi:type="dcterms:W3CDTF">2018-08-06T14:59:00Z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0x010100E45EF0F8AAA65E428351BA36F1B645BE1200CA280BBE04EF434C8DECBE67FD58A074</vt:lpwstr>
  </property>
  <property fmtid="{D5CDD505-2E9C-101B-9397-08002B2CF9AE}" pid="3" name="_dlc_DocIdItemGuid">
    <vt:lpwstr>895a913e-702c-4ea5-bbc1-0a6d3cac488f</vt:lpwstr>
  </property>
  <property fmtid="{D5CDD505-2E9C-101B-9397-08002B2CF9AE}" pid="4" name="TaxKeyword">
    <vt:lpwstr>1356;#Discussion Item|11aaba44-e1ec-4e15-aa2d-d346ddfd60a2</vt:lpwstr>
  </property>
</Properties>
</file>