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bookmarkStart w:id="0" w:name="_GoBack"/>
      <w:bookmarkEnd w:id="0"/>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579864C2" w:rsidR="00821B05" w:rsidRDefault="00821B05" w:rsidP="00684847">
      <w:pPr>
        <w:pStyle w:val="Title"/>
      </w:pPr>
      <w:r>
        <w:t>P</w:t>
      </w:r>
      <w:r w:rsidR="00B30ACA">
        <w:t>osting</w:t>
      </w:r>
      <w:r>
        <w:t xml:space="preserve"> O</w:t>
      </w:r>
      <w:r w:rsidR="00B30ACA">
        <w:t>ne</w:t>
      </w:r>
    </w:p>
    <w:p w14:paraId="18E2CD00" w14:textId="68570EAB" w:rsidR="00684847" w:rsidRDefault="007C1AA7" w:rsidP="00684847">
      <w:pPr>
        <w:pStyle w:val="Title"/>
      </w:pPr>
      <w:r>
        <w:t>Reliability Standards Development Procedures</w:t>
      </w:r>
    </w:p>
    <w:p w14:paraId="4FDF46DA" w14:textId="7CB5C037" w:rsidR="00902C28" w:rsidRDefault="001E607B" w:rsidP="00E822C6">
      <w:pPr>
        <w:pStyle w:val="Subtitle"/>
        <w:tabs>
          <w:tab w:val="center" w:pos="5040"/>
          <w:tab w:val="left" w:pos="7556"/>
        </w:tabs>
        <w:jc w:val="left"/>
      </w:pPr>
      <w:r>
        <w:tab/>
      </w:r>
      <w:r w:rsidR="007C1AA7">
        <w:t>WECC Standards Department</w:t>
      </w:r>
      <w:r>
        <w:tab/>
      </w:r>
    </w:p>
    <w:p w14:paraId="43ADE878" w14:textId="77777777" w:rsidR="007C1AA7" w:rsidRDefault="007C1AA7" w:rsidP="00F04492">
      <w:pPr>
        <w:pStyle w:val="Subtitle"/>
      </w:pPr>
      <w:r>
        <w:t>WECC Standards Committee</w:t>
      </w:r>
    </w:p>
    <w:p w14:paraId="01BC242E" w14:textId="0C5E51A1" w:rsidR="00F04492" w:rsidRPr="007C1AA7" w:rsidRDefault="00F04492" w:rsidP="00F04492">
      <w:pPr>
        <w:pStyle w:val="Subtitle"/>
      </w:pPr>
      <w:r>
        <w:t xml:space="preserve">FERC Approved </w:t>
      </w:r>
      <w:r w:rsidR="001E607B">
        <w:t>DATE</w:t>
      </w:r>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61747B25" w:rsidR="00765768" w:rsidRPr="00BE7089" w:rsidRDefault="00765768" w:rsidP="005D7437">
      <w:r w:rsidRPr="00BE7089">
        <w:t>WECC is a Regional Entity</w:t>
      </w:r>
      <w:r w:rsidR="00E822C6">
        <w:rPr>
          <w:rStyle w:val="FootnoteReference"/>
        </w:rPr>
        <w:footnoteReference w:id="1"/>
      </w:r>
      <w:r w:rsidRPr="00BE7089">
        <w:t xml:space="preserve"> authorized through a delegation agreement </w:t>
      </w:r>
      <w:r w:rsidR="005E1AAA">
        <w:t>with</w:t>
      </w:r>
      <w:r w:rsidR="005E1AAA" w:rsidRPr="00BE7089">
        <w:t xml:space="preserve"> </w:t>
      </w:r>
      <w:r w:rsidRPr="00BE7089">
        <w:t>NERC pursuant to Section 215 of the Federal Power Act</w:t>
      </w:r>
      <w:r>
        <w:t xml:space="preserve">. </w:t>
      </w:r>
      <w:r w:rsidRPr="00BE7089">
        <w:t>NERC delegates designated powers, rights, and responsibilities to WECC regarding the administration within the Western Interconnection of electric Reliability Standards adopted or approved by NERC and FERC.</w:t>
      </w:r>
      <w:r w:rsidRPr="003A573C">
        <w:rPr>
          <w:rStyle w:val="FootnoteReference"/>
          <w:kern w:val="24"/>
        </w:rPr>
        <w:footnoteReference w:id="2"/>
      </w:r>
      <w:r>
        <w:t xml:space="preserve"> </w:t>
      </w:r>
    </w:p>
    <w:p w14:paraId="15E01E00" w14:textId="4331D013" w:rsidR="00765768" w:rsidRPr="00BE7089" w:rsidRDefault="00765768">
      <w:r w:rsidRPr="00BE7089">
        <w:t xml:space="preserve">These Reliability Standards Development Procedures (Procedures) define the process </w:t>
      </w:r>
      <w:r w:rsidR="0045550C">
        <w:t xml:space="preserve">WECC is </w:t>
      </w:r>
      <w:r w:rsidRPr="00BE7089">
        <w:t xml:space="preserve">to use </w:t>
      </w:r>
      <w:r w:rsidR="007578E0">
        <w:t>to</w:t>
      </w:r>
      <w:r w:rsidRPr="00BE7089">
        <w:t xml:space="preserve"> develop, modif</w:t>
      </w:r>
      <w:r w:rsidR="007578E0">
        <w:t>y</w:t>
      </w:r>
      <w:r w:rsidRPr="00BE7089">
        <w:t>, retire, and interpret Regional Reliability Standards (RRS) and WECC Regional Criteria (CRT).</w:t>
      </w:r>
    </w:p>
    <w:p w14:paraId="51EBA3F7" w14:textId="23222885"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r w:rsidR="00DF6CE5">
        <w:t xml:space="preserve"> </w:t>
      </w:r>
      <w:r w:rsidRPr="00BE7089">
        <w:t xml:space="preserve">public notice of intent to develop RRSs and CRTs, a public comment period on the proposed documents, due consideration of comments provided, and a balanced </w:t>
      </w:r>
      <w:r>
        <w:t>Ballot Body</w:t>
      </w:r>
      <w:r w:rsidRPr="00BE7089">
        <w:t>.</w:t>
      </w:r>
    </w:p>
    <w:p w14:paraId="57FE2863" w14:textId="755BCA5C" w:rsidR="00765768" w:rsidRPr="00BE7089" w:rsidRDefault="00765768">
      <w:r w:rsidRPr="00BE7089">
        <w:t xml:space="preserve">The Procedures shall be interpreted and applied in a manner consistent with the WECC Bylaws. Should any conflict arise between the Procedures and the </w:t>
      </w:r>
      <w:r w:rsidR="00657109">
        <w:t>b</w:t>
      </w:r>
      <w:r w:rsidRPr="00BE7089">
        <w:t xml:space="preserve">ylaws, the </w:t>
      </w:r>
      <w:r w:rsidR="00657109">
        <w:t>b</w:t>
      </w:r>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b/>
        </w:rPr>
      </w:pPr>
      <w:r>
        <w:rPr>
          <w:b/>
        </w:rPr>
        <w:t>Affirmative Fractional Majority Vote</w:t>
      </w:r>
    </w:p>
    <w:p w14:paraId="1133D9E8" w14:textId="7C3A2550" w:rsidR="00274AE1" w:rsidRPr="00FA125E" w:rsidRDefault="00274AE1" w:rsidP="00724800">
      <w:r w:rsidRPr="00FA125E">
        <w:t xml:space="preserve">The voting percentage used to determine whether </w:t>
      </w:r>
      <w:r w:rsidR="00C20AFE" w:rsidRPr="00FA125E">
        <w:t>an</w:t>
      </w:r>
      <w:r w:rsidRPr="00FA125E">
        <w:t xml:space="preserve"> RRS or CRT has been approved.</w:t>
      </w:r>
      <w:r w:rsidR="00E822C6" w:rsidRPr="00FA125E">
        <w:rPr>
          <w:rStyle w:val="FootnoteReference"/>
          <w:bCs/>
        </w:rPr>
        <w:footnoteReference w:id="3"/>
      </w:r>
    </w:p>
    <w:p w14:paraId="242F75A7" w14:textId="45393EC0" w:rsidR="00765768" w:rsidRPr="00BE7089" w:rsidRDefault="00765768" w:rsidP="00765768">
      <w:pPr>
        <w:keepNext/>
        <w:rPr>
          <w:b/>
        </w:rPr>
      </w:pPr>
      <w:r w:rsidRPr="00BE7089">
        <w:rPr>
          <w:b/>
        </w:rPr>
        <w:t>Ballot Body</w:t>
      </w:r>
    </w:p>
    <w:p w14:paraId="4BC15B23" w14:textId="33B3CE36" w:rsidR="00765768" w:rsidRPr="00BE7089" w:rsidRDefault="00765768" w:rsidP="00765768">
      <w:r w:rsidRPr="00BE7089">
        <w:t xml:space="preserve">That body of qualified </w:t>
      </w:r>
      <w:r>
        <w:t>pe</w:t>
      </w:r>
      <w:r w:rsidR="00FB2009">
        <w:t>ople</w:t>
      </w:r>
      <w:r w:rsidRPr="00BE7089">
        <w:t xml:space="preserve"> register</w:t>
      </w:r>
      <w:r w:rsidR="00274AE1">
        <w:t>ed</w:t>
      </w:r>
      <w:r w:rsidRPr="00BE7089">
        <w:t xml:space="preserve"> with WECC for participation in Ballot Pools.</w:t>
      </w:r>
    </w:p>
    <w:p w14:paraId="53D234E4" w14:textId="77777777" w:rsidR="00765768" w:rsidRPr="00BE7089" w:rsidRDefault="00765768" w:rsidP="00765768">
      <w:pPr>
        <w:keepNext/>
        <w:rPr>
          <w:b/>
        </w:rPr>
      </w:pPr>
      <w:bookmarkStart w:id="1" w:name="Ballot_Pool"/>
      <w:bookmarkEnd w:id="1"/>
      <w:r w:rsidRPr="00BE7089">
        <w:rPr>
          <w:b/>
        </w:rPr>
        <w:t>Ballot Pool</w:t>
      </w:r>
    </w:p>
    <w:p w14:paraId="4243ED3D" w14:textId="56BBCD7D" w:rsidR="00765768" w:rsidRDefault="00765768" w:rsidP="00FA125E">
      <w:r w:rsidRPr="003A573C">
        <w:t>That pool of Ballot Body entities registered to vote on a specific document.</w:t>
      </w:r>
    </w:p>
    <w:p w14:paraId="42F111E7" w14:textId="3FADFEAB" w:rsidR="00765768" w:rsidRPr="00BE7089" w:rsidRDefault="00765768" w:rsidP="00765768">
      <w:pPr>
        <w:keepNext/>
        <w:rPr>
          <w:b/>
        </w:rPr>
      </w:pPr>
      <w:bookmarkStart w:id="2" w:name="Day"/>
      <w:bookmarkStart w:id="3" w:name="_bookmark0"/>
      <w:bookmarkEnd w:id="2"/>
      <w:bookmarkEnd w:id="3"/>
      <w:r w:rsidRPr="00BE7089">
        <w:rPr>
          <w:b/>
        </w:rPr>
        <w:t>Drafting Team (DT)</w:t>
      </w:r>
    </w:p>
    <w:p w14:paraId="19F010F5" w14:textId="57C846F0" w:rsidR="00AC42AE" w:rsidRDefault="00765768" w:rsidP="00765768">
      <w:pPr>
        <w:rPr>
          <w:kern w:val="24"/>
        </w:rPr>
      </w:pPr>
      <w:r w:rsidRPr="003A573C">
        <w:rPr>
          <w:kern w:val="24"/>
        </w:rPr>
        <w:t>A team of pertinent subject</w:t>
      </w:r>
      <w:r w:rsidR="00297550">
        <w:rPr>
          <w:kern w:val="24"/>
        </w:rPr>
        <w:t xml:space="preserve"> </w:t>
      </w:r>
      <w:r w:rsidRPr="003A573C">
        <w:rPr>
          <w:kern w:val="24"/>
        </w:rPr>
        <w:t>matter experts (SME) appointed by the WECC Standards Committee (WSC) to</w:t>
      </w:r>
      <w:r w:rsidR="008A653C">
        <w:rPr>
          <w:kern w:val="24"/>
        </w:rPr>
        <w:t>—</w:t>
      </w:r>
    </w:p>
    <w:p w14:paraId="5205F87E" w14:textId="395657E7" w:rsidR="00AC42AE" w:rsidRDefault="00AC42AE" w:rsidP="00AC42AE">
      <w:pPr>
        <w:pStyle w:val="ListBullet"/>
      </w:pPr>
      <w:r>
        <w:t>D</w:t>
      </w:r>
      <w:r w:rsidR="00765768" w:rsidRPr="003A573C">
        <w:t xml:space="preserve">evelop the document(s) called for in a </w:t>
      </w:r>
      <w:r w:rsidR="00765768" w:rsidRPr="00BE7089">
        <w:t>Standard</w:t>
      </w:r>
      <w:r w:rsidR="00765768" w:rsidRPr="003A573C">
        <w:t xml:space="preserve"> Authorization Request (SAR), </w:t>
      </w:r>
    </w:p>
    <w:p w14:paraId="5D91C156" w14:textId="40771647" w:rsidR="00AC42AE" w:rsidRDefault="00AC42AE" w:rsidP="00AC42AE">
      <w:pPr>
        <w:pStyle w:val="ListBullet"/>
      </w:pPr>
      <w:r>
        <w:lastRenderedPageBreak/>
        <w:t>C</w:t>
      </w:r>
      <w:r w:rsidR="00765768" w:rsidRPr="003A573C">
        <w:t xml:space="preserve">onsider and respond to industry comments, </w:t>
      </w:r>
    </w:p>
    <w:p w14:paraId="743BDAE7" w14:textId="339E8812" w:rsidR="008A653C" w:rsidRDefault="00AC42AE" w:rsidP="00AC42AE">
      <w:pPr>
        <w:pStyle w:val="ListBullet"/>
      </w:pPr>
      <w:r>
        <w:t>P</w:t>
      </w:r>
      <w:r w:rsidR="00765768" w:rsidRPr="003A573C">
        <w:t xml:space="preserve">articipate in forums to help build consensus on draft documents, and </w:t>
      </w:r>
    </w:p>
    <w:p w14:paraId="3548B578" w14:textId="4ADE376C" w:rsidR="00765768" w:rsidRPr="003A573C" w:rsidRDefault="008A653C" w:rsidP="00FA125E">
      <w:pPr>
        <w:pStyle w:val="ListBullet"/>
      </w:pPr>
      <w:r>
        <w:t>P</w:t>
      </w:r>
      <w:r w:rsidR="00765768" w:rsidRPr="003A573C">
        <w:t xml:space="preserve">erform other tasks as assigned by the </w:t>
      </w:r>
      <w:r w:rsidR="00765768">
        <w:t xml:space="preserve">WSC. </w:t>
      </w:r>
    </w:p>
    <w:p w14:paraId="41667B4F" w14:textId="77777777" w:rsidR="00765768" w:rsidRPr="00BE7089" w:rsidRDefault="00765768" w:rsidP="00765768">
      <w:pPr>
        <w:keepNext/>
        <w:rPr>
          <w:b/>
        </w:rPr>
      </w:pPr>
      <w:bookmarkStart w:id="4" w:name="Electric_Line_of_Business"/>
      <w:bookmarkStart w:id="5" w:name="NERC_Compliance_Registry"/>
      <w:bookmarkEnd w:id="4"/>
      <w:bookmarkEnd w:id="5"/>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26FEBD81"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6" w:name="Other_Projects_(OP)"/>
      <w:bookmarkStart w:id="7" w:name="Participating_Stakeholder"/>
      <w:bookmarkEnd w:id="6"/>
      <w:bookmarkEnd w:id="7"/>
      <w:r w:rsidRPr="00BE7089">
        <w:rPr>
          <w:b/>
        </w:rPr>
        <w:t>Regional Criteria (CRT)</w:t>
      </w:r>
    </w:p>
    <w:p w14:paraId="4DA621A2" w14:textId="1A5005B5" w:rsidR="00765768" w:rsidRPr="00BE7089" w:rsidRDefault="00765768" w:rsidP="00765768">
      <w:r w:rsidRPr="00BE7089">
        <w:t>As defined in the NERC Rules of Procedure</w:t>
      </w:r>
      <w:r w:rsidR="00252274">
        <w:t xml:space="preserve"> (ROP)</w:t>
      </w:r>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6C3588B8" w:rsidR="00765768" w:rsidRPr="003A573C" w:rsidRDefault="00765768" w:rsidP="00765768">
      <w:pPr>
        <w:rPr>
          <w:kern w:val="24"/>
        </w:rPr>
      </w:pPr>
      <w:r w:rsidRPr="003A573C">
        <w:rPr>
          <w:kern w:val="24"/>
        </w:rPr>
        <w:t xml:space="preserve">As defined in the NERC </w:t>
      </w:r>
      <w:r w:rsidR="00AE475B">
        <w:rPr>
          <w:kern w:val="24"/>
        </w:rPr>
        <w:t>ROP</w:t>
      </w:r>
      <w:r w:rsidRPr="003A573C">
        <w:rPr>
          <w:kern w:val="24"/>
        </w:rPr>
        <w:t>.</w:t>
      </w:r>
      <w:r w:rsidR="00252274">
        <w:rPr>
          <w:kern w:val="24"/>
        </w:rPr>
        <w:t xml:space="preserve"> For purposes of this document</w:t>
      </w:r>
      <w:r w:rsidR="007A7D49">
        <w:rPr>
          <w:kern w:val="24"/>
        </w:rPr>
        <w:t>,</w:t>
      </w:r>
      <w:r w:rsidR="00252274">
        <w:rPr>
          <w:kern w:val="24"/>
        </w:rPr>
        <w:t xml:space="preserve"> RRS is interchangeable with Regional Variance (RV) as defined in the ROP.</w:t>
      </w:r>
      <w:r w:rsidR="00061FBC">
        <w:rPr>
          <w:kern w:val="24"/>
        </w:rPr>
        <w:t xml:space="preserve"> </w:t>
      </w:r>
    </w:p>
    <w:p w14:paraId="68B71591" w14:textId="5CCAF281" w:rsidR="00765768" w:rsidRPr="00BE7089" w:rsidRDefault="00765768" w:rsidP="00765768">
      <w:pPr>
        <w:keepNext/>
        <w:rPr>
          <w:b/>
        </w:rPr>
      </w:pPr>
      <w:bookmarkStart w:id="8" w:name="Standard_Authorization_Request_(SAR)"/>
      <w:bookmarkEnd w:id="8"/>
      <w:r w:rsidRPr="00BE7089">
        <w:rPr>
          <w:b/>
        </w:rPr>
        <w:t xml:space="preserve">Standard Authorization Request </w:t>
      </w:r>
    </w:p>
    <w:p w14:paraId="52C34C84" w14:textId="70C61BD9" w:rsidR="00765768" w:rsidRPr="003A573C" w:rsidRDefault="00765768" w:rsidP="00765768">
      <w:pPr>
        <w:rPr>
          <w:kern w:val="24"/>
        </w:rPr>
      </w:pPr>
      <w:r w:rsidRPr="003A573C">
        <w:rPr>
          <w:kern w:val="24"/>
        </w:rPr>
        <w:t xml:space="preserve">The WECC form titled Standard Authorization Request </w:t>
      </w:r>
      <w:r w:rsidRPr="00BE7089">
        <w:t>administrated</w:t>
      </w:r>
      <w:r w:rsidRPr="003A573C">
        <w:rPr>
          <w:kern w:val="24"/>
        </w:rPr>
        <w:t xml:space="preserve"> by the WECC Standards Department for requesting development, modification, retirement, interpretation, or other disposition of an RRS or CRT.</w:t>
      </w:r>
    </w:p>
    <w:p w14:paraId="295B52EC" w14:textId="77777777" w:rsidR="00765768" w:rsidRPr="00BE7089" w:rsidRDefault="00765768" w:rsidP="00765768">
      <w:pPr>
        <w:keepNext/>
        <w:rPr>
          <w:b/>
        </w:rPr>
      </w:pPr>
      <w:bookmarkStart w:id="9" w:name="Standards_Briefing"/>
      <w:bookmarkEnd w:id="9"/>
      <w:r w:rsidRPr="00BE7089">
        <w:rPr>
          <w:b/>
        </w:rPr>
        <w:t>Standards Briefing</w:t>
      </w:r>
    </w:p>
    <w:p w14:paraId="2F8901F3" w14:textId="6D4170ED" w:rsidR="00765768" w:rsidRPr="003A573C" w:rsidRDefault="00765768" w:rsidP="00765768">
      <w:pPr>
        <w:rPr>
          <w:kern w:val="24"/>
        </w:rPr>
      </w:pPr>
      <w:r w:rsidRPr="003A573C">
        <w:rPr>
          <w:kern w:val="24"/>
        </w:rPr>
        <w:t xml:space="preserve">Any meeting initiated by WECC for 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10" w:name="Standards_Email_List_(SEL)"/>
      <w:bookmarkEnd w:id="10"/>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E579C5" w:rsidR="00765768" w:rsidRPr="003A573C" w:rsidRDefault="00765768" w:rsidP="00765768">
      <w:pPr>
        <w:rPr>
          <w:kern w:val="24"/>
        </w:rPr>
      </w:pPr>
      <w:r w:rsidRPr="003A573C">
        <w:rPr>
          <w:kern w:val="24"/>
        </w:rPr>
        <w:t xml:space="preserve">Email list(s) established and maintained by WECC for 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t>Substantive Changes</w:t>
      </w:r>
    </w:p>
    <w:p w14:paraId="73D4F18E" w14:textId="796C5352" w:rsidR="00765768" w:rsidRPr="003A573C" w:rsidRDefault="00765768" w:rsidP="00765768">
      <w:pPr>
        <w:rPr>
          <w:kern w:val="24"/>
        </w:rPr>
      </w:pPr>
      <w:r w:rsidRPr="003A573C">
        <w:rPr>
          <w:kern w:val="24"/>
        </w:rPr>
        <w:t xml:space="preserve">A </w:t>
      </w:r>
      <w:r w:rsidR="006533DF">
        <w:rPr>
          <w:kern w:val="24"/>
        </w:rPr>
        <w:t>change</w:t>
      </w:r>
      <w:r w:rsidRPr="003A573C">
        <w:rPr>
          <w:kern w:val="24"/>
        </w:rPr>
        <w:t xml:space="preserve"> that </w:t>
      </w:r>
      <w:r w:rsidR="006533DF">
        <w:rPr>
          <w:kern w:val="24"/>
        </w:rPr>
        <w:t>alters</w:t>
      </w:r>
      <w:r w:rsidR="006533DF" w:rsidRPr="003A573C">
        <w:rPr>
          <w:kern w:val="24"/>
        </w:rPr>
        <w:t xml:space="preserve"> </w:t>
      </w:r>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1" w:name="WECC_Member"/>
      <w:bookmarkEnd w:id="11"/>
      <w:r w:rsidRPr="00BE7089">
        <w:rPr>
          <w:b/>
        </w:rPr>
        <w:lastRenderedPageBreak/>
        <w:t>WECC Standards Committee (WSC)</w:t>
      </w:r>
    </w:p>
    <w:p w14:paraId="7FFB9CA1" w14:textId="4BC57809" w:rsidR="00252274" w:rsidRDefault="00765768" w:rsidP="00765768">
      <w:pPr>
        <w:rPr>
          <w:kern w:val="24"/>
        </w:rPr>
      </w:pPr>
      <w:r w:rsidRPr="003A573C">
        <w:rPr>
          <w:kern w:val="24"/>
        </w:rPr>
        <w:t xml:space="preserve">The committee established by the WECC Board of </w:t>
      </w:r>
      <w:r w:rsidRPr="00BE7089">
        <w:t>Directors</w:t>
      </w:r>
      <w:r w:rsidRPr="003A573C">
        <w:rPr>
          <w:kern w:val="24"/>
        </w:rPr>
        <w:t xml:space="preserve"> (Board) for overseeing the implementation of these Procedures pursuant to its Board-approved charter.</w:t>
      </w:r>
    </w:p>
    <w:p w14:paraId="6D7833D5" w14:textId="77777777" w:rsidR="00252274" w:rsidRDefault="00252274">
      <w:pPr>
        <w:rPr>
          <w:kern w:val="24"/>
        </w:rPr>
      </w:pPr>
      <w:r>
        <w:rPr>
          <w:kern w:val="24"/>
        </w:rPr>
        <w:br w:type="page"/>
      </w:r>
    </w:p>
    <w:p w14:paraId="72B4DA1A" w14:textId="77777777" w:rsidR="00765768" w:rsidRPr="003A573C" w:rsidRDefault="00765768" w:rsidP="00765768">
      <w:pPr>
        <w:pStyle w:val="Heading1"/>
      </w:pPr>
      <w:r w:rsidRPr="003A573C">
        <w:lastRenderedPageBreak/>
        <w:t>Overview</w:t>
      </w:r>
    </w:p>
    <w:p w14:paraId="1F1FFCFA" w14:textId="719AC5DC"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r w:rsidR="00ED3280">
        <w:rPr>
          <w:kern w:val="24"/>
        </w:rPr>
        <w:t>like</w:t>
      </w:r>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FA125E">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844403">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844403">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844403">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844403">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844403">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844403">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844403">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844403">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844403">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844403">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844403">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844403">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844403">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FA125E">
      <w:pPr>
        <w:pStyle w:val="ListBullet"/>
      </w:pPr>
      <w:r w:rsidRPr="00BE7089">
        <w:t>Expedited Process for Urgent Action</w:t>
      </w:r>
    </w:p>
    <w:p w14:paraId="03C44432" w14:textId="77777777" w:rsidR="00765768" w:rsidRPr="00BE7089" w:rsidRDefault="00765768" w:rsidP="00FA125E">
      <w:pPr>
        <w:pStyle w:val="ListBullet"/>
      </w:pPr>
      <w:r w:rsidRPr="00BE7089">
        <w:t>Regulatory Directives</w:t>
      </w:r>
    </w:p>
    <w:p w14:paraId="1B78E7BE" w14:textId="77777777" w:rsidR="00765768" w:rsidRPr="00BE7089" w:rsidRDefault="00765768" w:rsidP="00FA125E">
      <w:pPr>
        <w:pStyle w:val="ListBullet"/>
      </w:pPr>
      <w:r w:rsidRPr="00BE7089">
        <w:t xml:space="preserve">Maintenance of </w:t>
      </w:r>
      <w:r>
        <w:t xml:space="preserve">the </w:t>
      </w:r>
      <w:r w:rsidRPr="00BE7089">
        <w:t>Procedures</w:t>
      </w:r>
    </w:p>
    <w:p w14:paraId="085F12A2" w14:textId="77777777" w:rsidR="00765768" w:rsidRPr="00BE7089" w:rsidRDefault="00765768" w:rsidP="00FA125E">
      <w:pPr>
        <w:pStyle w:val="ListBullet"/>
      </w:pPr>
      <w:r w:rsidRPr="00BE7089">
        <w:t>Maintenance of RRSs and CRTs</w:t>
      </w:r>
    </w:p>
    <w:p w14:paraId="425A8394" w14:textId="77777777" w:rsidR="00765768" w:rsidRPr="00BE7089" w:rsidRDefault="00765768" w:rsidP="00FA125E">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lastRenderedPageBreak/>
        <w:t>Notices and Counting of Days</w:t>
      </w:r>
    </w:p>
    <w:p w14:paraId="39944F37" w14:textId="7B273DA1"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4CE51B05"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1D758884"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r w:rsidR="00FE77E7">
        <w:t>,</w:t>
      </w:r>
      <w:r w:rsidRPr="003A573C">
        <w:t xml:space="preserve"> then the terminus date is on the following WECC business day.</w:t>
      </w:r>
    </w:p>
    <w:p w14:paraId="0EE8D4F1" w14:textId="77777777" w:rsidR="00765768" w:rsidRPr="003A573C" w:rsidRDefault="00765768" w:rsidP="00765768">
      <w:pPr>
        <w:pStyle w:val="Heading1"/>
      </w:pPr>
      <w:bookmarkStart w:id="12" w:name="WECC_Standards_Committee_(WSC)"/>
      <w:bookmarkEnd w:id="12"/>
      <w:r w:rsidRPr="003A573C">
        <w:t xml:space="preserve">WECC Standards Committee </w:t>
      </w:r>
    </w:p>
    <w:p w14:paraId="153DD33B" w14:textId="4E1724F4" w:rsidR="00765768" w:rsidRPr="00BE7089" w:rsidRDefault="00765768" w:rsidP="00765768">
      <w:r w:rsidRPr="00BE7089">
        <w:t xml:space="preserve">The WSC </w:t>
      </w:r>
      <w:r w:rsidR="00480A10">
        <w:t xml:space="preserve">oversees the implementation of these </w:t>
      </w:r>
      <w:r w:rsidRPr="00BE7089">
        <w:t>Procedures. The WSC protects the integrity</w:t>
      </w:r>
      <w:r w:rsidR="002C0A5A">
        <w:t xml:space="preserve"> and </w:t>
      </w:r>
      <w:r w:rsidRPr="00BE7089">
        <w:t xml:space="preserve">credibility 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3" w:name="WECC_Standards_Voting_Sectors"/>
      <w:bookmarkEnd w:id="13"/>
      <w:r w:rsidRPr="00765768">
        <w:t>WECC Standards Voting Segments</w:t>
      </w:r>
    </w:p>
    <w:p w14:paraId="66460CFE" w14:textId="4102F650" w:rsidR="00765768" w:rsidRPr="00BE7089" w:rsidRDefault="00765768" w:rsidP="00765768">
      <w:r>
        <w:t>WECC’s Standards Voting Segment (SVS) shall be the same as those established by NERC.</w:t>
      </w:r>
      <w:r>
        <w:rPr>
          <w:rStyle w:val="FootnoteReference"/>
        </w:rPr>
        <w:footnoteReference w:id="4"/>
      </w:r>
      <w:r>
        <w:t xml:space="preserve"> </w:t>
      </w:r>
      <w:r w:rsidRPr="00BE7089">
        <w:t>A qualifying entity may register and cast a ballot in any SVS</w:t>
      </w:r>
      <w:r>
        <w:t>(s)</w:t>
      </w:r>
      <w:r w:rsidRPr="00BE7089">
        <w:t xml:space="preserve"> for which it qualifies</w:t>
      </w:r>
      <w:r>
        <w:t>.</w:t>
      </w:r>
    </w:p>
    <w:p w14:paraId="286D57F2" w14:textId="29B0240B" w:rsidR="00765768" w:rsidRPr="00765768" w:rsidRDefault="00765768" w:rsidP="00765768">
      <w:pPr>
        <w:pStyle w:val="Heading1"/>
      </w:pPr>
      <w:r w:rsidRPr="00765768">
        <w:lastRenderedPageBreak/>
        <w:t>Process for Develop</w:t>
      </w:r>
      <w:r w:rsidR="00B24289">
        <w:t>ing</w:t>
      </w:r>
      <w:r w:rsidRPr="00765768">
        <w:t xml:space="preserve"> Regional Reliability Standards, Regional Criteria, and Interpretations</w:t>
      </w:r>
    </w:p>
    <w:p w14:paraId="05D3B96E" w14:textId="13E4427B" w:rsidR="00765768" w:rsidRPr="00E44135" w:rsidRDefault="00765768" w:rsidP="00FA125E">
      <w:pPr>
        <w:pStyle w:val="Steps"/>
      </w:pPr>
      <w:bookmarkStart w:id="14" w:name="Step_1_–_Submit_and_Validate_a_Standard_"/>
      <w:bookmarkStart w:id="15" w:name="_bookmark1"/>
      <w:bookmarkStart w:id="16" w:name="_Toc46218247"/>
      <w:bookmarkEnd w:id="14"/>
      <w:bookmarkEnd w:id="15"/>
      <w:r w:rsidRPr="00E44135">
        <w:t>Step 1</w:t>
      </w:r>
      <w:r w:rsidR="00CB0206">
        <w:t>—</w:t>
      </w:r>
      <w:r w:rsidRPr="00E44135">
        <w:t>Submit and Validate a Standard Authorization Request</w:t>
      </w:r>
      <w:bookmarkEnd w:id="16"/>
    </w:p>
    <w:p w14:paraId="267D74A0" w14:textId="346E6315" w:rsidR="00765768" w:rsidRPr="00BE7089" w:rsidRDefault="00765768" w:rsidP="00765768">
      <w:r w:rsidRPr="00BE7089">
        <w:t>Development, revision, retirement, or interpretation of a</w:t>
      </w:r>
      <w:r>
        <w:t>n</w:t>
      </w:r>
      <w:r w:rsidRPr="00BE7089">
        <w:t xml:space="preserve"> RRS or CRT shall be initiated by filing a SAR by any person or entity. A SAR is filed by completing the electronic fields of the online WECC SAR form. WECC staff shall review the incoming SAR to ensure it is valid.</w:t>
      </w:r>
      <w:r w:rsidRPr="003A573C">
        <w:rPr>
          <w:rStyle w:val="FootnoteReference"/>
          <w:kern w:val="24"/>
        </w:rPr>
        <w:footnoteReference w:id="5"/>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r w:rsidR="00854371">
        <w:t xml:space="preserve">will </w:t>
      </w:r>
      <w:r w:rsidR="00E822C6">
        <w:t>be sent to the SEL.</w:t>
      </w:r>
    </w:p>
    <w:p w14:paraId="35EFD26D" w14:textId="74073215" w:rsidR="00765768" w:rsidRPr="00B469A9" w:rsidRDefault="00765768" w:rsidP="00FA125E">
      <w:pPr>
        <w:pStyle w:val="Steps"/>
      </w:pPr>
      <w:bookmarkStart w:id="17" w:name="Step_2_–_Complete_SAR_and_Present_to_the"/>
      <w:bookmarkStart w:id="18" w:name="_bookmark2"/>
      <w:bookmarkStart w:id="19" w:name="_Toc46218248"/>
      <w:bookmarkEnd w:id="17"/>
      <w:bookmarkEnd w:id="18"/>
      <w:r w:rsidRPr="00B469A9">
        <w:t>Step 2</w:t>
      </w:r>
      <w:r w:rsidR="00854371">
        <w:t>—</w:t>
      </w:r>
      <w:r w:rsidRPr="00B469A9">
        <w:t>Complete SAR and Present to the WSC</w:t>
      </w:r>
      <w:bookmarkEnd w:id="19"/>
    </w:p>
    <w:p w14:paraId="4C687132" w14:textId="1F219C1D"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1DD839CA" w:rsidR="00765768" w:rsidRPr="00BE7089" w:rsidRDefault="00765768" w:rsidP="00765768">
      <w:r w:rsidRPr="00BE7089">
        <w:rPr>
          <w:rFonts w:eastAsia="Arial" w:cs="Times New Roman"/>
          <w:szCs w:val="24"/>
        </w:rPr>
        <w:t xml:space="preserve">To be deemed complete, each SAR shall contain a description of the proposed </w:t>
      </w:r>
      <w:proofErr w:type="gramStart"/>
      <w:r w:rsidRPr="00BE7089">
        <w:rPr>
          <w:rFonts w:eastAsia="Arial" w:cs="Times New Roman"/>
          <w:szCs w:val="24"/>
        </w:rPr>
        <w:t>RRS</w:t>
      </w:r>
      <w:proofErr w:type="gramEnd"/>
      <w:r w:rsidRPr="00BE7089">
        <w:rPr>
          <w:rFonts w:eastAsia="Arial" w:cs="Times New Roman"/>
          <w:szCs w:val="24"/>
        </w:rPr>
        <w:t xml:space="preserve"> or CRT subject matter sufficiently detailed to define the purpose, scope, </w:t>
      </w:r>
      <w:r w:rsidR="00854371">
        <w:rPr>
          <w:rFonts w:eastAsia="Arial" w:cs="Times New Roman"/>
          <w:szCs w:val="24"/>
        </w:rPr>
        <w:t>affected</w:t>
      </w:r>
      <w:r w:rsidR="00854371" w:rsidRPr="00BE7089">
        <w:rPr>
          <w:rFonts w:eastAsia="Arial" w:cs="Times New Roman"/>
          <w:szCs w:val="24"/>
        </w:rPr>
        <w:t xml:space="preserve"> </w:t>
      </w:r>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r w:rsidR="00190281">
        <w:t xml:space="preserve">the SAR </w:t>
      </w:r>
      <w:r>
        <w:t>is</w:t>
      </w:r>
      <w:r w:rsidRPr="00BE7089">
        <w:t xml:space="preserve"> complete, WECC staff shall place the SAR on the agenda for the next scheduled WSC meeting for disposition, subject to required notice. Notice of WSC meetings and posting of WSC agendas will be provided </w:t>
      </w:r>
      <w:r w:rsidR="00854371">
        <w:t>according to</w:t>
      </w:r>
      <w:r w:rsidRPr="00BE7089">
        <w:t xml:space="preserve"> the WSC Charter.</w:t>
      </w:r>
    </w:p>
    <w:p w14:paraId="5DD215D6" w14:textId="756D6052" w:rsidR="00765768" w:rsidRDefault="00765768" w:rsidP="00765768">
      <w:r w:rsidRPr="00BE7089">
        <w:t xml:space="preserve">The WSC shall determine whether the SAR is within the scope of WECC’s authority and </w:t>
      </w:r>
      <w:r w:rsidR="006D08D2" w:rsidRPr="00BE7089">
        <w:t>activities and</w:t>
      </w:r>
      <w:r w:rsidRPr="00BE7089">
        <w:t xml:space="preserve"> is appropriate for development.</w:t>
      </w:r>
      <w:r>
        <w:t xml:space="preserve"> </w:t>
      </w:r>
      <w:r w:rsidRPr="00BE7089">
        <w:t>Public comment on the SAR will be reviewed and considered by the WSC during a duly noticed WSC meeting prior to the WSC approving the SAR.</w:t>
      </w:r>
    </w:p>
    <w:p w14:paraId="5F9CA47B" w14:textId="443886C8"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74F67487" w:rsidR="00765768" w:rsidRPr="00BE7089" w:rsidRDefault="00765768" w:rsidP="00765768">
      <w:r w:rsidRPr="00BE7089">
        <w:t xml:space="preserve">The WSC shall ensure that the SAR provides enough information that a DT will have a clear understanding of the reasons for, and nature of, the RRS or CRT to be developed. The SAR author may be asked to assist </w:t>
      </w:r>
      <w:r w:rsidR="00126A82" w:rsidRPr="00BE7089">
        <w:t xml:space="preserve">further </w:t>
      </w:r>
      <w:r w:rsidRPr="00BE7089">
        <w:t>in the development or clarification of the SAR.</w:t>
      </w:r>
    </w:p>
    <w:p w14:paraId="3171E1FC" w14:textId="77777777" w:rsidR="00765768" w:rsidRPr="00BE7089" w:rsidRDefault="00765768" w:rsidP="00765768">
      <w:bookmarkStart w:id="20" w:name="_bookmark3"/>
      <w:bookmarkEnd w:id="20"/>
      <w:r w:rsidRPr="00BE7089">
        <w:lastRenderedPageBreak/>
        <w:t>The WSC may accept the SAR, in which case development proceeds to Step 3.</w:t>
      </w:r>
    </w:p>
    <w:p w14:paraId="78F75331" w14:textId="2DE14BE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372A2700" w:rsidR="00765768" w:rsidRPr="00BE7089" w:rsidRDefault="00765768" w:rsidP="00765768">
      <w:r w:rsidRPr="00BE7089">
        <w:t xml:space="preserve">The SAR author shall have 30 days from the date of remand or until the </w:t>
      </w:r>
      <w:r w:rsidR="008A4B02">
        <w:t xml:space="preserve">sixtieth </w:t>
      </w:r>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0738AD23"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09319D74" w:rsidR="00765768" w:rsidRPr="00871366" w:rsidRDefault="00E208E1" w:rsidP="00FA125E">
      <w:pPr>
        <w:pStyle w:val="ListParagraph"/>
      </w:pPr>
      <w:r w:rsidRPr="00871366">
        <w:t>B</w:t>
      </w:r>
      <w:r w:rsidR="00765768" w:rsidRPr="00871366">
        <w:t>e communicated to the SAR author, the Board, and the SEL</w:t>
      </w:r>
      <w:r w:rsidRPr="00871366">
        <w:t>;</w:t>
      </w:r>
    </w:p>
    <w:p w14:paraId="734A9FC8" w14:textId="6B3520BA" w:rsidR="00765768" w:rsidRPr="00871366" w:rsidRDefault="00E208E1" w:rsidP="00FA125E">
      <w:pPr>
        <w:pStyle w:val="ListParagraph"/>
      </w:pPr>
      <w:r w:rsidRPr="00871366">
        <w:t>R</w:t>
      </w:r>
      <w:r w:rsidR="00765768" w:rsidRPr="00871366">
        <w:t>eference the unique SAR tracking number and direct the recipient to supporting information as appropriate</w:t>
      </w:r>
      <w:r w:rsidRPr="00871366">
        <w:t>;</w:t>
      </w:r>
      <w:r w:rsidR="00765768" w:rsidRPr="00871366">
        <w:t xml:space="preserve"> and </w:t>
      </w:r>
    </w:p>
    <w:p w14:paraId="10E0BF9C" w14:textId="70357834" w:rsidR="00765768" w:rsidRPr="00871366" w:rsidRDefault="00B44010" w:rsidP="00FA125E">
      <w:pPr>
        <w:pStyle w:val="ListParagraph"/>
      </w:pPr>
      <w:r w:rsidRPr="00871366">
        <w:t>B</w:t>
      </w:r>
      <w:r w:rsidR="00765768" w:rsidRPr="00871366">
        <w:t xml:space="preserve">e made no more than 30 days from the date of the WSC’s determination. </w:t>
      </w:r>
    </w:p>
    <w:p w14:paraId="7FE10702" w14:textId="13EC6228" w:rsidR="00765768" w:rsidRPr="003418DB" w:rsidRDefault="00765768" w:rsidP="00FA125E">
      <w:pPr>
        <w:pStyle w:val="Steps"/>
      </w:pPr>
      <w:bookmarkStart w:id="21" w:name="Step_3_–_Convene_the_Drafting_Team"/>
      <w:bookmarkStart w:id="22" w:name="_bookmark4"/>
      <w:bookmarkStart w:id="23" w:name="_Toc46218250"/>
      <w:bookmarkEnd w:id="21"/>
      <w:bookmarkEnd w:id="22"/>
      <w:r w:rsidRPr="003418DB">
        <w:t>Step 3</w:t>
      </w:r>
      <w:r w:rsidR="00B44010">
        <w:t>—</w:t>
      </w:r>
      <w:r w:rsidRPr="003418DB">
        <w:t>Convene the Drafting Team</w:t>
      </w:r>
      <w:bookmarkEnd w:id="23"/>
    </w:p>
    <w:p w14:paraId="76D6DAEC" w14:textId="6C7BE820"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68851194" w:rsidR="00680AE7" w:rsidRDefault="00765768" w:rsidP="00FA125E">
      <w:r w:rsidRPr="00BE7089">
        <w:t xml:space="preserve">Upon establishing a start date for the development of an RRS or CRT, the WSC shall convene a DT to develop the RRS or CRT required by the SAR. </w:t>
      </w:r>
    </w:p>
    <w:p w14:paraId="2B999209" w14:textId="5142E9EC" w:rsidR="00765768" w:rsidRDefault="00765768" w:rsidP="00FA125E">
      <w:r w:rsidRPr="00BE7089">
        <w:t xml:space="preserve">The WSC may either directly assign a DT or solicit team member nominations from the industry. </w:t>
      </w:r>
      <w:r w:rsidR="00F47312">
        <w:t xml:space="preserve">When multiple DT nominees from the same entity </w:t>
      </w:r>
      <w:r w:rsidR="00F545FE">
        <w:t xml:space="preserve">seek assignment to the same DT, that assignment is permissible; however, </w:t>
      </w:r>
      <w:r w:rsidR="004B0002">
        <w:t xml:space="preserve">the represented entity has only one vote on matters </w:t>
      </w:r>
      <w:r w:rsidR="00C3129A">
        <w:t xml:space="preserve">determined </w:t>
      </w:r>
      <w:r w:rsidR="00C64BEC">
        <w:t xml:space="preserve">solely </w:t>
      </w:r>
      <w:r w:rsidR="00C3129A">
        <w:t>by the DT</w:t>
      </w:r>
      <w:r w:rsidR="00FE6D54">
        <w:t>. When presented with a list of DT nominees</w:t>
      </w:r>
      <w:r w:rsidR="003F3118">
        <w:t xml:space="preserve"> proposed for assignment to a DT, the WSC may request the names be kept confidential </w:t>
      </w:r>
      <w:r w:rsidR="00651DA4">
        <w:t xml:space="preserve">until the assignment has been made. </w:t>
      </w:r>
    </w:p>
    <w:p w14:paraId="0BAC8DFF" w14:textId="540041A4" w:rsidR="005A6F72" w:rsidRPr="00BE7089" w:rsidRDefault="005A6F72" w:rsidP="00FA125E">
      <w:r>
        <w:lastRenderedPageBreak/>
        <w:t>The WSC may augment</w:t>
      </w:r>
      <w:r w:rsidR="003441D8">
        <w:t xml:space="preserve">, modify, or replace DT membership at any time. The WSC shall </w:t>
      </w:r>
      <w:r w:rsidR="00B72787">
        <w:t xml:space="preserve">target </w:t>
      </w:r>
      <w:r w:rsidR="003441D8">
        <w:t>approv</w:t>
      </w:r>
      <w:r w:rsidR="00C61FF1">
        <w:t>al</w:t>
      </w:r>
      <w:r w:rsidR="003441D8">
        <w:t xml:space="preserve"> </w:t>
      </w:r>
      <w:r w:rsidR="00C61FF1">
        <w:t xml:space="preserve">of each DT Roster for no later than 120 days after the </w:t>
      </w:r>
      <w:r w:rsidR="00FB4777">
        <w:t>SAR start date has been set.</w:t>
      </w:r>
      <w:r w:rsidR="004D5E2D">
        <w:t xml:space="preserve"> </w:t>
      </w:r>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2CB283CF" w:rsidR="00765768" w:rsidRPr="003418DB" w:rsidRDefault="00765768" w:rsidP="00FA125E">
      <w:pPr>
        <w:pStyle w:val="Steps"/>
      </w:pPr>
      <w:bookmarkStart w:id="24" w:name="Step_4_Begin_Drafting_Phase"/>
      <w:bookmarkStart w:id="25" w:name="_bookmark5"/>
      <w:bookmarkStart w:id="26" w:name="_Toc46218251"/>
      <w:bookmarkEnd w:id="24"/>
      <w:bookmarkEnd w:id="25"/>
      <w:r w:rsidRPr="003418DB">
        <w:t>Step 4</w:t>
      </w:r>
      <w:r w:rsidR="00F22E73">
        <w:t>—</w:t>
      </w:r>
      <w:r w:rsidRPr="003418DB">
        <w:t>Begin Drafting Phase and Submit Draft to WSC</w:t>
      </w:r>
      <w:bookmarkEnd w:id="26"/>
    </w:p>
    <w:p w14:paraId="3480402C" w14:textId="28E3197B" w:rsidR="00765768" w:rsidRPr="00BE7089" w:rsidRDefault="00765768" w:rsidP="00765768">
      <w:r w:rsidRPr="00BE7089">
        <w:t>All DT meetings shall be open and publicly noticed on the WECC website.</w:t>
      </w:r>
    </w:p>
    <w:p w14:paraId="372A9EF1" w14:textId="2B55428D"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00E6DDEA"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1A09F63A"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r w:rsidR="007A7EA1">
        <w:t xml:space="preserve"> </w:t>
      </w:r>
      <w:r w:rsidRPr="00BE7089">
        <w:t xml:space="preserve">Power System of the North American continent. </w:t>
      </w:r>
    </w:p>
    <w:p w14:paraId="3D4A3FD8" w14:textId="0B37C1C3" w:rsidR="00765768" w:rsidRPr="00BE7089" w:rsidRDefault="00765768" w:rsidP="00765768">
      <w:r w:rsidRPr="00BE7089">
        <w:t>A</w:t>
      </w:r>
      <w:r>
        <w:t>n</w:t>
      </w:r>
      <w:r w:rsidRPr="00BE7089">
        <w:t xml:space="preserve"> RRS shall either: </w:t>
      </w:r>
    </w:p>
    <w:p w14:paraId="648016CF" w14:textId="1BBBFD88" w:rsidR="00765768" w:rsidRPr="00871366" w:rsidRDefault="00DA4E63" w:rsidP="00FA125E">
      <w:pPr>
        <w:pStyle w:val="ListParagraph"/>
        <w:numPr>
          <w:ilvl w:val="0"/>
          <w:numId w:val="36"/>
        </w:numPr>
      </w:pPr>
      <w:r w:rsidRPr="00871366">
        <w:t>B</w:t>
      </w:r>
      <w:r w:rsidR="00765768" w:rsidRPr="00871366">
        <w:t>e more stringent than a continent-wide reliability standard,</w:t>
      </w:r>
    </w:p>
    <w:p w14:paraId="20F7FF22" w14:textId="767D2845" w:rsidR="00765768" w:rsidRPr="00871366" w:rsidRDefault="00DA4E63" w:rsidP="00FA125E">
      <w:pPr>
        <w:pStyle w:val="ListParagraph"/>
      </w:pPr>
      <w:r w:rsidRPr="00871366">
        <w:t xml:space="preserve">Include </w:t>
      </w:r>
      <w:r w:rsidR="00765768" w:rsidRPr="00871366">
        <w:t>a regional difference address</w:t>
      </w:r>
      <w:r w:rsidR="001406F7" w:rsidRPr="00871366">
        <w:t xml:space="preserve">ing </w:t>
      </w:r>
      <w:r w:rsidR="00765768" w:rsidRPr="00871366">
        <w:t xml:space="preserve">matters that the continent-wide reliability standard does not; or </w:t>
      </w:r>
    </w:p>
    <w:p w14:paraId="65037F76" w14:textId="2EAD1E3C" w:rsidR="00765768" w:rsidRPr="00871366" w:rsidRDefault="00DA4E63" w:rsidP="00FA125E">
      <w:pPr>
        <w:pStyle w:val="ListParagraph"/>
      </w:pPr>
      <w:r w:rsidRPr="00871366">
        <w:t>B</w:t>
      </w:r>
      <w:r w:rsidR="00765768" w:rsidRPr="00871366">
        <w:t>e a regional difference necessitated by a physical difference in the Bulk</w:t>
      </w:r>
      <w:r w:rsidRPr="00871366">
        <w:t xml:space="preserve"> </w:t>
      </w:r>
      <w:r w:rsidR="00765768" w:rsidRPr="00871366">
        <w:t>Power System.</w:t>
      </w:r>
    </w:p>
    <w:p w14:paraId="523DAFFA" w14:textId="00877412" w:rsidR="00765768" w:rsidRDefault="005711FB" w:rsidP="00765768">
      <w:r>
        <w:t>For an RRS, in</w:t>
      </w:r>
      <w:r w:rsidR="00E74682">
        <w:t>clusion of o</w:t>
      </w:r>
      <w:r w:rsidR="00AF526D">
        <w:t xml:space="preserve">ptional </w:t>
      </w:r>
      <w:r w:rsidR="00B13A79">
        <w:t xml:space="preserve">explanatory </w:t>
      </w:r>
      <w:r w:rsidR="00B919B5">
        <w:t xml:space="preserve">narrative such as a </w:t>
      </w:r>
      <w:r w:rsidR="00765768" w:rsidRPr="00BE7089">
        <w:t>guidance section</w:t>
      </w:r>
      <w:r w:rsidR="001701C2">
        <w:t xml:space="preserve">, illustrations, </w:t>
      </w:r>
      <w:r w:rsidR="00AF526D">
        <w:t>or</w:t>
      </w:r>
      <w:r w:rsidR="001701C2">
        <w:t xml:space="preserve"> </w:t>
      </w:r>
      <w:r w:rsidR="00822877">
        <w:t xml:space="preserve">a </w:t>
      </w:r>
      <w:r w:rsidR="00765768" w:rsidRPr="00BE7089">
        <w:t>background section</w:t>
      </w:r>
      <w:r w:rsidR="00AF526D">
        <w:t xml:space="preserve"> </w:t>
      </w:r>
      <w:r w:rsidR="00DA4E63">
        <w:t>will</w:t>
      </w:r>
      <w:r w:rsidR="00881A19">
        <w:t xml:space="preserve"> comport with NERC’s most current drafting conventions.</w:t>
      </w:r>
    </w:p>
    <w:p w14:paraId="31E53332" w14:textId="6310689F" w:rsidR="00EF700E" w:rsidRDefault="00B564C8" w:rsidP="006A5A3B">
      <w:r>
        <w:t xml:space="preserve">For a CRT, </w:t>
      </w:r>
      <w:r w:rsidR="00DA4E63">
        <w:t xml:space="preserve">an </w:t>
      </w:r>
      <w:r w:rsidR="00E6743D">
        <w:t xml:space="preserve">optional </w:t>
      </w:r>
      <w:r w:rsidR="00B13A79">
        <w:t xml:space="preserve">explanatory narrative </w:t>
      </w:r>
      <w:r w:rsidR="00EF700E">
        <w:t>may be included directly in the CRT.</w:t>
      </w:r>
    </w:p>
    <w:p w14:paraId="2394E90E" w14:textId="77777777" w:rsidR="00765768" w:rsidRPr="00BE7089" w:rsidRDefault="00765768" w:rsidP="00765768">
      <w:r w:rsidRPr="00BE7089">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677C7DA6" w:rsidR="00765768" w:rsidRPr="00BE7089" w:rsidRDefault="00765768" w:rsidP="00765768">
      <w:r w:rsidRPr="00BE7089">
        <w:t xml:space="preserve">In drafting the </w:t>
      </w:r>
      <w:r w:rsidRPr="00BE0671">
        <w:t>applicability section of an RRS</w:t>
      </w:r>
      <w:r w:rsidRPr="00BE7089">
        <w:t>, only functions in the NERC Compliance Registry will be used.</w:t>
      </w:r>
      <w:r w:rsidR="00340875">
        <w:t xml:space="preserve"> In drafting the applicability section of a C</w:t>
      </w:r>
      <w:r w:rsidR="00662FAB">
        <w:t>RT</w:t>
      </w:r>
      <w:r w:rsidR="00B14275">
        <w:t xml:space="preserve">, functions outside of the NERC Compliance Registry may be used. </w:t>
      </w:r>
    </w:p>
    <w:p w14:paraId="5DB3D9B1" w14:textId="751117E3" w:rsidR="00765768" w:rsidRPr="00BE7089" w:rsidRDefault="00765768" w:rsidP="00765768">
      <w:r w:rsidRPr="00BE7089">
        <w:lastRenderedPageBreak/>
        <w:t>To avoid conflict of interest</w:t>
      </w:r>
      <w:r w:rsidR="00757F30">
        <w:t xml:space="preserve">, </w:t>
      </w:r>
      <w:r w:rsidRPr="00BE7089">
        <w:t xml:space="preserve">WECC </w:t>
      </w:r>
      <w:r>
        <w:t xml:space="preserve">and </w:t>
      </w:r>
      <w:r w:rsidRPr="00BE7089">
        <w:t>its committees and subgroups shall not be listed as the applicable entity in a</w:t>
      </w:r>
      <w:r>
        <w:t>n</w:t>
      </w:r>
      <w:r w:rsidRPr="00BE7089">
        <w:t xml:space="preserve"> RRS or CRT.</w:t>
      </w:r>
    </w:p>
    <w:p w14:paraId="57B34480" w14:textId="2BCE50F2" w:rsidR="00765768" w:rsidRPr="00BE7089" w:rsidRDefault="00F502A7" w:rsidP="00765768">
      <w:r>
        <w:t>The DT shall</w:t>
      </w:r>
      <w:r w:rsidR="00F6205F">
        <w:t xml:space="preserve">, </w:t>
      </w:r>
      <w:r w:rsidR="00765768" w:rsidRPr="00BE7089">
        <w:t>at a minimum</w:t>
      </w:r>
      <w:r w:rsidR="00DA4E63">
        <w:t>—</w:t>
      </w:r>
    </w:p>
    <w:p w14:paraId="1357BD3E" w14:textId="006718FC" w:rsidR="00765768" w:rsidRPr="00871366" w:rsidRDefault="00DA4E63" w:rsidP="00FA125E">
      <w:pPr>
        <w:pStyle w:val="ListBullet"/>
      </w:pPr>
      <w:r w:rsidRPr="00871366">
        <w:t>R</w:t>
      </w:r>
      <w:r w:rsidR="00765768" w:rsidRPr="00871366">
        <w:t>eview any preliminary technical assessment provided with the SAR;</w:t>
      </w:r>
    </w:p>
    <w:p w14:paraId="2803A5BA" w14:textId="0E36206A" w:rsidR="00765768" w:rsidRPr="00871366" w:rsidRDefault="00DA4E63" w:rsidP="00FA125E">
      <w:pPr>
        <w:pStyle w:val="ListBullet"/>
      </w:pPr>
      <w:r w:rsidRPr="00871366">
        <w:t>P</w:t>
      </w:r>
      <w:r w:rsidR="00765768" w:rsidRPr="00871366">
        <w:t xml:space="preserve">erform or request additional technical studies deemed necessary either by the DT or at the direction of the WSC; </w:t>
      </w:r>
    </w:p>
    <w:p w14:paraId="2EF99EDF" w14:textId="4D864412" w:rsidR="00765768" w:rsidRPr="00871366" w:rsidRDefault="0077273C" w:rsidP="00FA125E">
      <w:pPr>
        <w:pStyle w:val="ListBullet"/>
      </w:pPr>
      <w:r w:rsidRPr="00871366">
        <w:t>P</w:t>
      </w:r>
      <w:r w:rsidR="00765768" w:rsidRPr="00871366">
        <w:t>repare supporting documents to support the RRS or CRT as needed; and</w:t>
      </w:r>
    </w:p>
    <w:p w14:paraId="3950A3BC" w14:textId="7AF0EE65" w:rsidR="00765768" w:rsidRPr="00871366" w:rsidRDefault="0077273C" w:rsidP="00FA125E">
      <w:pPr>
        <w:pStyle w:val="ListBullet"/>
      </w:pPr>
      <w:r w:rsidRPr="00871366">
        <w:t>R</w:t>
      </w:r>
      <w:r w:rsidR="00765768" w:rsidRPr="00871366">
        <w:t xml:space="preserve">equest </w:t>
      </w:r>
      <w:r w:rsidRPr="00871366">
        <w:t xml:space="preserve">more </w:t>
      </w:r>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65A62B27" w14:textId="3FBAD0B9" w:rsidR="00765768" w:rsidRPr="003418DB" w:rsidRDefault="00765768" w:rsidP="00FA125E">
      <w:pPr>
        <w:pStyle w:val="Steps"/>
      </w:pPr>
      <w:bookmarkStart w:id="27" w:name="Step_5_–_Post_for_Comment"/>
      <w:bookmarkStart w:id="28" w:name="_bookmark6"/>
      <w:bookmarkStart w:id="29" w:name="_Toc46218252"/>
      <w:bookmarkEnd w:id="27"/>
      <w:bookmarkEnd w:id="28"/>
      <w:r w:rsidRPr="003418DB">
        <w:t>Step 5</w:t>
      </w:r>
      <w:r w:rsidR="0077273C">
        <w:t>—</w:t>
      </w:r>
      <w:r w:rsidRPr="003418DB">
        <w:t>Post for Comment</w:t>
      </w:r>
      <w:bookmarkEnd w:id="29"/>
    </w:p>
    <w:p w14:paraId="32D2586D" w14:textId="25041E52"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2739C0EF"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62590240" w:rsidR="00765768" w:rsidRPr="00BE7089" w:rsidRDefault="00765768" w:rsidP="00765768">
      <w:r w:rsidRPr="00BE7089">
        <w:t>A notice that the comment period has opened shall be distributed via the SEL. The notice shall include, at a minimum</w:t>
      </w:r>
      <w:r w:rsidR="005C2C9E">
        <w:t>—</w:t>
      </w:r>
    </w:p>
    <w:p w14:paraId="46BB64B7" w14:textId="0D05DE43" w:rsidR="00765768" w:rsidRPr="00871366" w:rsidRDefault="005C2C9E" w:rsidP="00FA125E">
      <w:pPr>
        <w:pStyle w:val="ListBullet"/>
      </w:pPr>
      <w:r w:rsidRPr="00871366">
        <w:t>I</w:t>
      </w:r>
      <w:r w:rsidR="00765768" w:rsidRPr="00871366">
        <w:t xml:space="preserve">dentification of the RRS or CRT; </w:t>
      </w:r>
    </w:p>
    <w:p w14:paraId="1E1388DD" w14:textId="352C6DEF" w:rsidR="00765768" w:rsidRPr="00871366" w:rsidRDefault="005C2C9E" w:rsidP="00FA125E">
      <w:pPr>
        <w:pStyle w:val="ListBullet"/>
      </w:pPr>
      <w:r w:rsidRPr="00871366">
        <w:t>W</w:t>
      </w:r>
      <w:r w:rsidR="00765768" w:rsidRPr="00871366">
        <w:t>hat action is being taken (e.g., request for comment);</w:t>
      </w:r>
    </w:p>
    <w:p w14:paraId="6E764B97" w14:textId="04822925" w:rsidR="00765768" w:rsidRPr="00871366" w:rsidRDefault="005C2C9E" w:rsidP="00FA125E">
      <w:pPr>
        <w:pStyle w:val="ListBullet"/>
      </w:pPr>
      <w:r w:rsidRPr="00871366">
        <w:t>T</w:t>
      </w:r>
      <w:r w:rsidR="00765768" w:rsidRPr="00871366">
        <w:t>he location of the document for review;</w:t>
      </w:r>
    </w:p>
    <w:p w14:paraId="4B3EE0BB" w14:textId="10711037" w:rsidR="00765768" w:rsidRPr="00871366" w:rsidRDefault="005C2C9E" w:rsidP="00FA125E">
      <w:pPr>
        <w:pStyle w:val="ListBullet"/>
      </w:pPr>
      <w:r w:rsidRPr="00871366">
        <w:t>H</w:t>
      </w:r>
      <w:r w:rsidR="00765768" w:rsidRPr="00871366">
        <w:t>ow to submit comments or perform the requested action; and</w:t>
      </w:r>
    </w:p>
    <w:p w14:paraId="46404FF5" w14:textId="0BB83608" w:rsidR="00765768" w:rsidRPr="00871366" w:rsidRDefault="005C2C9E" w:rsidP="00FA125E">
      <w:pPr>
        <w:pStyle w:val="ListBullet"/>
      </w:pPr>
      <w:r w:rsidRPr="00871366">
        <w:t>T</w:t>
      </w:r>
      <w:r w:rsidR="00765768" w:rsidRPr="00871366">
        <w:t xml:space="preserve">he opening and closing dates during which the solicited action shall take place. Unless otherwise posted, all posting periods close at 6:00 p.m. </w:t>
      </w:r>
      <w:r w:rsidR="00C45546" w:rsidRPr="00871366">
        <w:t>MST</w:t>
      </w:r>
      <w:r w:rsidR="00765768" w:rsidRPr="00871366">
        <w:t xml:space="preserve">. </w:t>
      </w:r>
    </w:p>
    <w:p w14:paraId="2C4844AB" w14:textId="34FD9026" w:rsidR="00765768" w:rsidRDefault="00765768" w:rsidP="00765768">
      <w:r w:rsidRPr="00BE7089">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7E8FC0F7"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individuals, entities, or groups that support the common position. DTs shall give due weight to such a joint comment. </w:t>
      </w:r>
    </w:p>
    <w:p w14:paraId="07D6D645" w14:textId="6BEAC8A7" w:rsidR="00765768" w:rsidRPr="00BE7089" w:rsidRDefault="00765768" w:rsidP="00765768">
      <w:r w:rsidRPr="00BE7089">
        <w:lastRenderedPageBreak/>
        <w:t>The WSC shall monitor each posting and review the posted documents to ensure that the RRS or CRT:</w:t>
      </w:r>
    </w:p>
    <w:p w14:paraId="57E6C10C" w14:textId="2ED41193" w:rsidR="00765768" w:rsidRPr="00871366" w:rsidRDefault="009679D9" w:rsidP="00FA125E">
      <w:pPr>
        <w:pStyle w:val="ListParagraph"/>
        <w:numPr>
          <w:ilvl w:val="0"/>
          <w:numId w:val="37"/>
        </w:numPr>
      </w:pPr>
      <w:r w:rsidRPr="00871366">
        <w:t>R</w:t>
      </w:r>
      <w:r w:rsidR="00765768" w:rsidRPr="00871366">
        <w:t>emains within the scope of the SAR;</w:t>
      </w:r>
    </w:p>
    <w:p w14:paraId="4A88DB1A" w14:textId="18B2FDE9" w:rsidR="00765768" w:rsidRPr="00871366" w:rsidRDefault="009679D9" w:rsidP="00FA125E">
      <w:pPr>
        <w:pStyle w:val="ListParagraph"/>
      </w:pPr>
      <w:r w:rsidRPr="00871366">
        <w:t>C</w:t>
      </w:r>
      <w:r w:rsidR="00765768" w:rsidRPr="00871366">
        <w:t xml:space="preserve">ontinues to be appropriate for development; and </w:t>
      </w:r>
    </w:p>
    <w:p w14:paraId="7F4A43F1" w14:textId="617AA574" w:rsidR="00765768" w:rsidRPr="00871366" w:rsidRDefault="009679D9" w:rsidP="00FA125E">
      <w:pPr>
        <w:pStyle w:val="ListParagraph"/>
      </w:pPr>
      <w:r w:rsidRPr="00871366">
        <w:t>M</w:t>
      </w:r>
      <w:r w:rsidR="00765768" w:rsidRPr="00871366">
        <w:t>eets any regulatory or policy-related directive</w:t>
      </w:r>
      <w:r w:rsidR="00934C27" w:rsidRPr="00871366">
        <w:t>,</w:t>
      </w:r>
      <w:r w:rsidR="00765768" w:rsidRPr="00871366">
        <w:t xml:space="preserve"> including</w:t>
      </w:r>
      <w:r w:rsidR="00965204">
        <w:t xml:space="preserve"> </w:t>
      </w:r>
      <w:r w:rsidR="00765768" w:rsidRPr="00871366">
        <w:t>adherence to these Procedures.</w:t>
      </w:r>
    </w:p>
    <w:p w14:paraId="5F1D6A09" w14:textId="5A3A5563" w:rsidR="00765768" w:rsidRPr="00BE7089" w:rsidRDefault="00765768" w:rsidP="00765768">
      <w:r w:rsidRPr="00BE7089">
        <w:t>On a finding by a majority of the WSC members that the RRS or CRT does not meet one or more of the above three criteria, the WSC may</w:t>
      </w:r>
      <w:r w:rsidR="00934C27">
        <w:t>—</w:t>
      </w:r>
    </w:p>
    <w:p w14:paraId="0679D448" w14:textId="0AEAA69D" w:rsidR="00765768" w:rsidRPr="00871366" w:rsidRDefault="00934C27" w:rsidP="00FA125E">
      <w:pPr>
        <w:pStyle w:val="ListParagraph"/>
        <w:numPr>
          <w:ilvl w:val="0"/>
          <w:numId w:val="35"/>
        </w:numPr>
      </w:pPr>
      <w:r w:rsidRPr="00871366">
        <w:t>A</w:t>
      </w:r>
      <w:r w:rsidR="00765768" w:rsidRPr="00871366">
        <w:t>djust the scope of the SAR;</w:t>
      </w:r>
    </w:p>
    <w:p w14:paraId="0AD18F0C" w14:textId="67067ADF" w:rsidR="00765768" w:rsidRPr="00871366" w:rsidRDefault="00934C27" w:rsidP="00FA125E">
      <w:pPr>
        <w:pStyle w:val="ListParagraph"/>
      </w:pPr>
      <w:r w:rsidRPr="00871366">
        <w:t>R</w:t>
      </w:r>
      <w:r w:rsidR="00765768" w:rsidRPr="00871366">
        <w:t>emand the work product to the DT with specific remedial direction;</w:t>
      </w:r>
    </w:p>
    <w:p w14:paraId="24697E60" w14:textId="0F6C2AA2" w:rsidR="00765768" w:rsidRPr="00871366" w:rsidRDefault="00934C27" w:rsidP="00FA125E">
      <w:pPr>
        <w:pStyle w:val="ListParagraph"/>
      </w:pPr>
      <w:r w:rsidRPr="00871366">
        <w:t>E</w:t>
      </w:r>
      <w:r w:rsidR="00765768" w:rsidRPr="00871366">
        <w:t xml:space="preserve">xercise its right to augment, modify, or replace any or all DT members; or </w:t>
      </w:r>
    </w:p>
    <w:p w14:paraId="7E21F97F" w14:textId="43AC3955" w:rsidR="00765768" w:rsidRPr="00871366" w:rsidRDefault="00934C27" w:rsidP="00FA125E">
      <w:pPr>
        <w:pStyle w:val="ListParagraph"/>
      </w:pPr>
      <w:r w:rsidRPr="00871366">
        <w:t>E</w:t>
      </w:r>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4120395C" w:rsidR="00765768" w:rsidRPr="00FA125E" w:rsidRDefault="00765768" w:rsidP="00FA125E">
      <w:pPr>
        <w:pStyle w:val="Steps"/>
      </w:pPr>
      <w:bookmarkStart w:id="30" w:name="Step_6_Respond_to_Comments"/>
      <w:bookmarkStart w:id="31" w:name="_bookmark7"/>
      <w:bookmarkStart w:id="32" w:name="_Toc46218253"/>
      <w:bookmarkEnd w:id="30"/>
      <w:bookmarkEnd w:id="31"/>
      <w:r w:rsidRPr="00FA125E">
        <w:t>Step 6</w:t>
      </w:r>
      <w:r w:rsidR="001B39C8" w:rsidRPr="00FA125E">
        <w:t>—</w:t>
      </w:r>
      <w:r w:rsidRPr="00FA125E">
        <w:t>Respond to Comments</w:t>
      </w:r>
      <w:bookmarkEnd w:id="32"/>
    </w:p>
    <w:p w14:paraId="1A23982F" w14:textId="392A37B2"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6AC15350" w:rsidR="00765768" w:rsidRPr="00BE7089" w:rsidRDefault="00765768" w:rsidP="00765768">
      <w:r w:rsidRPr="00BE7089">
        <w:t xml:space="preserve">The DT shall prepare a response to comments received that includes reporting the changes made to the proposed RRS or CRT </w:t>
      </w:r>
      <w:r w:rsidR="002B74F8">
        <w:t xml:space="preserve">resulting from </w:t>
      </w:r>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5D50FB62" w:rsidR="00765768" w:rsidRPr="00BE7089" w:rsidRDefault="00765768" w:rsidP="00765768">
      <w:r w:rsidRPr="00BE7089">
        <w:t xml:space="preserve">The DT should target posting its responses to the WECC website no later than 30 days after the comment window has closed. If more than 30 days are required, the DT chair or WECC </w:t>
      </w:r>
      <w:r w:rsidR="00D7579C">
        <w:t>s</w:t>
      </w:r>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3" w:name="Substantive_Changes"/>
      <w:bookmarkEnd w:id="33"/>
      <w:r w:rsidRPr="003F09AB">
        <w:t xml:space="preserve">Treatment of Substantive Changes </w:t>
      </w:r>
    </w:p>
    <w:p w14:paraId="1D307B72" w14:textId="2B06E7B4" w:rsidR="00765768" w:rsidRPr="00BE7089" w:rsidRDefault="00765768" w:rsidP="00765768">
      <w:r w:rsidRPr="00BE7089">
        <w:t xml:space="preserve">All Substantive </w:t>
      </w:r>
      <w:r w:rsidR="003354ED">
        <w:t>C</w:t>
      </w:r>
      <w:r w:rsidRPr="00BE7089">
        <w:t>hanges to a</w:t>
      </w:r>
      <w:r>
        <w:t>n</w:t>
      </w:r>
      <w:r w:rsidRPr="00BE7089">
        <w:t xml:space="preserve"> RRS or CRT require at least one </w:t>
      </w:r>
      <w:r w:rsidR="00871366">
        <w:t xml:space="preserve">posting/comment/response </w:t>
      </w:r>
      <w:r w:rsidRPr="00BE7089">
        <w:t xml:space="preserve">cycle. </w:t>
      </w:r>
    </w:p>
    <w:p w14:paraId="67FC7EA2" w14:textId="15A60180"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w:t>
      </w:r>
      <w:r w:rsidRPr="00BE7089">
        <w:lastRenderedPageBreak/>
        <w:t xml:space="preserve">accordingly, repeating the </w:t>
      </w:r>
      <w:r w:rsidR="00871366">
        <w:t xml:space="preserve">posting/comment/response </w:t>
      </w:r>
      <w:r w:rsidRPr="00BE7089">
        <w:t>cycle as many times as needed to address Substantive Changes while staying within the scope of the SAR.</w:t>
      </w:r>
    </w:p>
    <w:p w14:paraId="5C92EBDC" w14:textId="1C945262" w:rsidR="00765768" w:rsidRPr="00BE7089" w:rsidRDefault="00765768" w:rsidP="00765768">
      <w:r w:rsidRPr="00BE7089">
        <w:t>If at any time during the development process</w:t>
      </w:r>
      <w:r w:rsidR="00E53743">
        <w:t>,</w:t>
      </w:r>
      <w:r w:rsidRPr="00BE7089">
        <w:t xml:space="preserve"> the DT determines that the scope of the SAR should be adjusted, the DT shall present that request to the WSC for disposition. </w:t>
      </w:r>
    </w:p>
    <w:p w14:paraId="0B6F3D0D" w14:textId="01294D00" w:rsidR="00765768" w:rsidRPr="00BE7089" w:rsidRDefault="00765768" w:rsidP="00765768">
      <w:r w:rsidRPr="00BE7089">
        <w:t>If at any time during the development process</w:t>
      </w:r>
      <w:r w:rsidR="00E53743">
        <w:t>,</w:t>
      </w:r>
      <w:r w:rsidRPr="00BE7089">
        <w:t xml:space="preserve"> the DT determines that it has reached a developmental impasse, the DT shall present the issue to the WSC for disposition.</w:t>
      </w:r>
    </w:p>
    <w:p w14:paraId="4585E54D" w14:textId="287BB2D9" w:rsidR="00765768" w:rsidRPr="00BE7089" w:rsidRDefault="00765768" w:rsidP="00FA125E">
      <w:r w:rsidRPr="00BE7089">
        <w:t>If comments received during any posting do not warrant a Substantive Change to the language of a</w:t>
      </w:r>
      <w:r>
        <w:t>n</w:t>
      </w:r>
      <w:r w:rsidRPr="00BE7089">
        <w:t xml:space="preserve"> RRS or CRT, the DT </w:t>
      </w:r>
      <w:r w:rsidR="00801BD4">
        <w:t xml:space="preserve">present at </w:t>
      </w:r>
      <w:r w:rsidRPr="00BE7089">
        <w:t xml:space="preserve">a regularly scheduled and announced DT meeting </w:t>
      </w:r>
      <w:r w:rsidR="00377E60">
        <w:t xml:space="preserve">shall be </w:t>
      </w:r>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r w:rsidR="00CB1D87">
        <w:t>pol</w:t>
      </w:r>
      <w:r w:rsidR="001C7A22">
        <w:t>l</w:t>
      </w:r>
      <w:r w:rsidR="00CB1D87">
        <w:t xml:space="preserve"> </w:t>
      </w:r>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FA125E">
      <w:pPr>
        <w:pStyle w:val="Heading3"/>
      </w:pPr>
      <w:bookmarkStart w:id="34" w:name="Non-Substantive_Changes"/>
      <w:bookmarkEnd w:id="34"/>
      <w:r w:rsidRPr="003F09AB">
        <w:t>Treatment of Non-Substantive Changes</w:t>
      </w:r>
    </w:p>
    <w:p w14:paraId="5F0DE8A9" w14:textId="2C98C2A2" w:rsidR="00765768" w:rsidRPr="00BE7089" w:rsidRDefault="00765768" w:rsidP="00765768">
      <w:r w:rsidRPr="00BE7089">
        <w:t>Non-</w:t>
      </w:r>
      <w:r>
        <w:t>S</w:t>
      </w:r>
      <w:r w:rsidRPr="00BE7089">
        <w:t xml:space="preserve">ubstantive </w:t>
      </w:r>
      <w:r>
        <w:t>C</w:t>
      </w:r>
      <w:r w:rsidRPr="00BE7089">
        <w:t xml:space="preserve">hanges do not require a </w:t>
      </w:r>
      <w:r w:rsidR="00871366">
        <w:t xml:space="preserve">posting/comment/response </w:t>
      </w:r>
      <w:r w:rsidRPr="00BE7089">
        <w:t>cycle.</w:t>
      </w:r>
    </w:p>
    <w:p w14:paraId="33A38B6A" w14:textId="04F6E910"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r w:rsidR="00013BA0">
        <w:t>WECC staff.</w:t>
      </w:r>
      <w:r>
        <w:t xml:space="preserve"> </w:t>
      </w:r>
    </w:p>
    <w:p w14:paraId="24282A31" w14:textId="0F57CEB4" w:rsidR="00765768" w:rsidRPr="003829BE" w:rsidRDefault="00765768" w:rsidP="00FA125E">
      <w:pPr>
        <w:pStyle w:val="Heading4"/>
      </w:pPr>
      <w:r w:rsidRPr="003829BE">
        <w:t xml:space="preserve">Regional Reliability Standards </w:t>
      </w:r>
    </w:p>
    <w:p w14:paraId="33E7549F" w14:textId="39F4C75E"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w:t>
      </w:r>
      <w:proofErr w:type="gramStart"/>
      <w:r w:rsidRPr="00BE7089">
        <w:t>RRS, and</w:t>
      </w:r>
      <w:proofErr w:type="gramEnd"/>
      <w:r w:rsidRPr="00BE7089">
        <w:t xml:space="preserve">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FA125E">
      <w:pPr>
        <w:pStyle w:val="Heading4"/>
      </w:pPr>
      <w:r w:rsidRPr="00BE7089">
        <w:t>WECC Regional Criteri</w:t>
      </w:r>
      <w:r>
        <w:t>a</w:t>
      </w:r>
      <w:r w:rsidRPr="00BE7089">
        <w:t xml:space="preserve"> </w:t>
      </w:r>
    </w:p>
    <w:p w14:paraId="1C6B2DE8" w14:textId="23A68816"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w:t>
      </w:r>
      <w:proofErr w:type="gramStart"/>
      <w:r w:rsidRPr="00BE7089">
        <w:t>CRT, and</w:t>
      </w:r>
      <w:proofErr w:type="gramEnd"/>
      <w:r w:rsidRPr="00BE7089">
        <w:t xml:space="preserve"> agrees that the correction has no material impact on the </w:t>
      </w:r>
      <w:r>
        <w:t xml:space="preserve">applicable entities, </w:t>
      </w:r>
      <w:r w:rsidRPr="00BE7089">
        <w:t>the WSC shall approve the change.</w:t>
      </w:r>
      <w:r>
        <w:t xml:space="preserve"> </w:t>
      </w:r>
      <w:r w:rsidRPr="00BE7089">
        <w:t>No further action is required.</w:t>
      </w:r>
    </w:p>
    <w:p w14:paraId="56CCE9DB" w14:textId="6E1A495A" w:rsidR="00765768" w:rsidRPr="00BE7089" w:rsidRDefault="00C44139" w:rsidP="00765768">
      <w:r>
        <w:t xml:space="preserve">Implementing </w:t>
      </w:r>
      <w:r w:rsidR="000776E8">
        <w:t xml:space="preserve">updated </w:t>
      </w:r>
      <w:r>
        <w:t>document styles, tem</w:t>
      </w:r>
      <w:r w:rsidR="00FF5C98">
        <w:t xml:space="preserve">plates, or standardized </w:t>
      </w:r>
      <w:r w:rsidR="000776E8">
        <w:t>language</w:t>
      </w:r>
      <w:r w:rsidR="00AB7276">
        <w:t xml:space="preserve"> </w:t>
      </w:r>
      <w:r w:rsidR="000D5097">
        <w:t xml:space="preserve">approved by </w:t>
      </w:r>
      <w:r w:rsidR="00AB7276">
        <w:t xml:space="preserve">WECC for CRTs </w:t>
      </w:r>
      <w:r w:rsidR="00DC434F">
        <w:t xml:space="preserve">or </w:t>
      </w:r>
      <w:r w:rsidR="00AB7276">
        <w:t>NERC for RRS</w:t>
      </w:r>
      <w:r w:rsidR="00BD52B1">
        <w:t xml:space="preserve"> </w:t>
      </w:r>
      <w:r w:rsidR="00DB7F81">
        <w:t xml:space="preserve">is </w:t>
      </w:r>
      <w:r w:rsidR="00765768" w:rsidRPr="00BE7089">
        <w:t>explicitly within the purview of staff and do</w:t>
      </w:r>
      <w:r w:rsidR="00871366">
        <w:t>es</w:t>
      </w:r>
      <w:r w:rsidR="00765768" w:rsidRPr="00BE7089">
        <w:t xml:space="preserve"> not require further approval.</w:t>
      </w:r>
      <w:r w:rsidR="00765768">
        <w:t xml:space="preserve"> </w:t>
      </w:r>
    </w:p>
    <w:p w14:paraId="0E3468D4" w14:textId="017CEA99" w:rsidR="00765768" w:rsidRPr="00FA125E" w:rsidRDefault="00765768" w:rsidP="00FA125E">
      <w:pPr>
        <w:pStyle w:val="Steps"/>
      </w:pPr>
      <w:bookmarkStart w:id="35" w:name="Step_7_–_Submit_Proposed_Draft_to_the_WS"/>
      <w:bookmarkStart w:id="36" w:name="_bookmark8"/>
      <w:bookmarkStart w:id="37" w:name="_Toc46218254"/>
      <w:bookmarkEnd w:id="35"/>
      <w:bookmarkEnd w:id="36"/>
      <w:r w:rsidRPr="00FA125E">
        <w:lastRenderedPageBreak/>
        <w:t>Step 7</w:t>
      </w:r>
      <w:r w:rsidR="00871366" w:rsidRPr="00FA125E">
        <w:t>—</w:t>
      </w:r>
      <w:r w:rsidRPr="00FA125E">
        <w:t>Submit Proposed Draft to the WSC with a Request for Ballot</w:t>
      </w:r>
      <w:bookmarkEnd w:id="37"/>
    </w:p>
    <w:p w14:paraId="0BA64092" w14:textId="3BB70CD0"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7CD14512"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r w:rsidR="00871366">
        <w:t xml:space="preserve">the content of the document meets </w:t>
      </w:r>
      <w:r w:rsidRPr="00BE7089">
        <w:t>extrinsic requirements such as FERC orders, Board directives, or other regulatory directives.</w:t>
      </w:r>
    </w:p>
    <w:p w14:paraId="3B429FB2" w14:textId="0353BBA7"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r w:rsidR="00E57BDE">
        <w:t>(s)</w:t>
      </w:r>
      <w:r w:rsidRPr="00BE7089">
        <w:t>.</w:t>
      </w:r>
      <w:r>
        <w:t xml:space="preserve"> </w:t>
      </w:r>
    </w:p>
    <w:p w14:paraId="05F53E45" w14:textId="052CB6BD" w:rsidR="00765768" w:rsidRPr="00BE7089" w:rsidRDefault="00765768" w:rsidP="00765768">
      <w:r w:rsidRPr="00BE7089">
        <w:t>The results of the WSC’s vote to forward the RRS or CRT to the Ballot Pool shall be documented.</w:t>
      </w:r>
      <w:r>
        <w:t xml:space="preserve"> </w:t>
      </w:r>
      <w:r w:rsidRPr="00BE7089">
        <w:t>Any WSC member that opposes submittal of the RRS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1F6B294F"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6D1C7B76" w:rsidR="00765768" w:rsidRPr="00BE7089" w:rsidRDefault="00765768" w:rsidP="00765768">
      <w:r w:rsidRPr="00BE7089">
        <w:t>Upon receiving the remanded RRS or CRT and explanation of deficiencies, the DT shall:</w:t>
      </w:r>
    </w:p>
    <w:p w14:paraId="480074B4" w14:textId="77777777" w:rsidR="00765768" w:rsidRPr="00FA125E" w:rsidRDefault="00765768" w:rsidP="00FA125E">
      <w:pPr>
        <w:pStyle w:val="ListParagraph"/>
        <w:numPr>
          <w:ilvl w:val="0"/>
          <w:numId w:val="38"/>
        </w:numPr>
      </w:pPr>
      <w:r w:rsidRPr="00FA125E">
        <w:t>Redraft the RRS or CRT accordingly;</w:t>
      </w:r>
    </w:p>
    <w:p w14:paraId="548A06AA" w14:textId="6A102D9B" w:rsidR="00765768" w:rsidRPr="00FA125E" w:rsidRDefault="00765768" w:rsidP="00FA125E">
      <w:pPr>
        <w:pStyle w:val="ListParagraph"/>
      </w:pPr>
      <w:r w:rsidRPr="00FA125E">
        <w:t>Initiate iterative comment/response cycles as needed until it again concludes that no further Substantive Changes are needed; and</w:t>
      </w:r>
    </w:p>
    <w:p w14:paraId="4E2E8977" w14:textId="77777777" w:rsidR="00765768" w:rsidRPr="00FA125E" w:rsidRDefault="00765768" w:rsidP="00FA125E">
      <w:pPr>
        <w:pStyle w:val="ListParagraph"/>
      </w:pPr>
      <w:r w:rsidRPr="00FA125E">
        <w:t>Return the proposed RRS or CRT to the WSC for disposition.</w:t>
      </w:r>
    </w:p>
    <w:p w14:paraId="6A5C6EAC" w14:textId="09B28CC5" w:rsidR="00765768" w:rsidRPr="00FA125E" w:rsidRDefault="00765768" w:rsidP="00FA125E">
      <w:pPr>
        <w:pStyle w:val="Steps"/>
      </w:pPr>
      <w:bookmarkStart w:id="38" w:name="Step_8_–_Convene_a_Standards_Briefing"/>
      <w:bookmarkStart w:id="39" w:name="_bookmark9"/>
      <w:bookmarkStart w:id="40" w:name="_Toc46218255"/>
      <w:bookmarkEnd w:id="38"/>
      <w:bookmarkEnd w:id="39"/>
      <w:r w:rsidRPr="00FA125E">
        <w:t>Step 8</w:t>
      </w:r>
      <w:r w:rsidR="00871366" w:rsidRPr="00FA125E">
        <w:t>—</w:t>
      </w:r>
      <w:r w:rsidRPr="00FA125E">
        <w:t>Convene a Standards Briefing</w:t>
      </w:r>
      <w:bookmarkEnd w:id="40"/>
    </w:p>
    <w:p w14:paraId="770EB185" w14:textId="0996B08D"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r w:rsidR="00871366">
        <w:t>seven</w:t>
      </w:r>
      <w:r w:rsidR="001C3FB1">
        <w:t xml:space="preserve"> </w:t>
      </w:r>
      <w:r w:rsidRPr="00BE7089">
        <w:t>days or more before the Standards Briefing is to be held and shall provide, at a minimum:</w:t>
      </w:r>
    </w:p>
    <w:p w14:paraId="09BD30E2" w14:textId="77777777" w:rsidR="00765768" w:rsidRPr="00871366" w:rsidRDefault="00765768" w:rsidP="00FA125E">
      <w:pPr>
        <w:pStyle w:val="ListBullet"/>
      </w:pPr>
      <w:r w:rsidRPr="00871366">
        <w:t>Identification of the RRS or CRT;</w:t>
      </w:r>
    </w:p>
    <w:p w14:paraId="3A09016E" w14:textId="77777777" w:rsidR="00765768" w:rsidRPr="00871366" w:rsidRDefault="00765768" w:rsidP="00FA125E">
      <w:pPr>
        <w:pStyle w:val="ListBullet"/>
      </w:pPr>
      <w:r w:rsidRPr="00871366">
        <w:t>The time and place of the Standards Briefing; and</w:t>
      </w:r>
    </w:p>
    <w:p w14:paraId="06889CB3" w14:textId="77777777" w:rsidR="00765768" w:rsidRPr="00871366" w:rsidRDefault="00765768" w:rsidP="00FA125E">
      <w:pPr>
        <w:pStyle w:val="ListBullet"/>
      </w:pPr>
      <w:r w:rsidRPr="00871366">
        <w:t>The WECC website location of the proposed RRS or CRT and related documentation for review.</w:t>
      </w:r>
    </w:p>
    <w:p w14:paraId="41F03A4C" w14:textId="66F379EA" w:rsidR="00765768" w:rsidRPr="00FA125E" w:rsidRDefault="00765768" w:rsidP="00FA125E">
      <w:pPr>
        <w:pStyle w:val="Steps"/>
      </w:pPr>
      <w:bookmarkStart w:id="41" w:name="Step_9_Form_the_Ballot_Pool"/>
      <w:bookmarkStart w:id="42" w:name="_bookmark10"/>
      <w:bookmarkStart w:id="43" w:name="_Toc46218256"/>
      <w:bookmarkEnd w:id="41"/>
      <w:bookmarkEnd w:id="42"/>
      <w:r w:rsidRPr="00FA125E">
        <w:lastRenderedPageBreak/>
        <w:t>Step 9</w:t>
      </w:r>
      <w:r w:rsidR="00871366" w:rsidRPr="00FA125E">
        <w:t>—</w:t>
      </w:r>
      <w:r w:rsidRPr="00FA125E">
        <w:t>Form the Ballot Pool and Ballot the Standard</w:t>
      </w:r>
      <w:bookmarkEnd w:id="43"/>
    </w:p>
    <w:p w14:paraId="37F94316" w14:textId="646EF5F3"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r w:rsidR="009211CA">
        <w:t>,</w:t>
      </w:r>
      <w:r>
        <w:t xml:space="preserve"> the application is considered pending. While an application is pending, the applicant cannot join a Ballot Pool. Applications received less than five days prior to the opening of a Ballot Pool may not be considered for inclusion in that Ballot Pool</w:t>
      </w:r>
      <w:r w:rsidR="002E2CB8">
        <w:t xml:space="preserve"> unless specifically </w:t>
      </w:r>
      <w:r w:rsidR="001D53FF">
        <w:t>allowed by the Director of Standards</w:t>
      </w:r>
      <w:r w:rsidR="00E82C23">
        <w:t>(DOS)</w:t>
      </w:r>
      <w:r w:rsidR="00DD17E9">
        <w:t>.</w:t>
      </w:r>
      <w:r>
        <w:rPr>
          <w:rStyle w:val="FootnoteReference"/>
        </w:rPr>
        <w:footnoteReference w:id="6"/>
      </w:r>
      <w:r>
        <w:t xml:space="preserve"> </w:t>
      </w:r>
      <w:r w:rsidRPr="00BE7089">
        <w:t xml:space="preserve">Decisions of staff to deny the admission of an individual or entity to </w:t>
      </w:r>
      <w:r>
        <w:t xml:space="preserve">an SVS </w:t>
      </w:r>
      <w:r w:rsidRPr="00BE7089">
        <w:t xml:space="preserve">may be appealed </w:t>
      </w:r>
      <w:r w:rsidR="00FD3533">
        <w:t>to the WSC.</w:t>
      </w:r>
      <w:r w:rsidRPr="00BE7089">
        <w:t xml:space="preserve"> </w:t>
      </w:r>
    </w:p>
    <w:p w14:paraId="708F75C9" w14:textId="0FDE639E"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5DB450ED" w:rsidR="00765768" w:rsidRPr="00BE7089" w:rsidRDefault="00765768" w:rsidP="00765768">
      <w:r w:rsidRPr="00BE7089">
        <w:t xml:space="preserve">From the Ballot Body, a discrete Ballot Pool will be formed for each RRS or CRT to be balloted under these Procedures. All members of the Ballot Body shall be </w:t>
      </w:r>
      <w:r w:rsidR="00871366">
        <w:t>given</w:t>
      </w:r>
      <w:r w:rsidR="00871366" w:rsidRPr="00BE7089">
        <w:t xml:space="preserve"> </w:t>
      </w:r>
      <w:r w:rsidRPr="00BE7089">
        <w:t>an opportunity to opt into a Ballot Pool formed for 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699187B6" w:rsidR="00765768" w:rsidRPr="00BE7089" w:rsidRDefault="00765768" w:rsidP="00765768">
      <w:r w:rsidRPr="00BE7089">
        <w:t xml:space="preserve">Notice that a Ballot Pool is forming will be </w:t>
      </w:r>
      <w:r w:rsidR="00F82B1F">
        <w:t>sent</w:t>
      </w:r>
      <w:r w:rsidR="00F82B1F" w:rsidRPr="00BE7089">
        <w:t xml:space="preserve"> </w:t>
      </w:r>
      <w:r w:rsidRPr="00BE7089">
        <w:t>via the SEL and posted to the WECC website. That notice shall contain, at a minimum, the following information:</w:t>
      </w:r>
    </w:p>
    <w:p w14:paraId="4C0AA0B3" w14:textId="77777777" w:rsidR="00765768" w:rsidRPr="00FA125E" w:rsidRDefault="00765768" w:rsidP="00FA125E">
      <w:pPr>
        <w:pStyle w:val="ListParagraph"/>
        <w:numPr>
          <w:ilvl w:val="0"/>
          <w:numId w:val="39"/>
        </w:numPr>
      </w:pPr>
      <w:r w:rsidRPr="00FA125E">
        <w:t xml:space="preserve">Identification of the RRS or CRT; </w:t>
      </w:r>
    </w:p>
    <w:p w14:paraId="4EC3D70E" w14:textId="762632E6" w:rsidR="00765768" w:rsidRPr="00FA125E" w:rsidRDefault="00765768" w:rsidP="00FA125E">
      <w:pPr>
        <w:pStyle w:val="ListParagraph"/>
      </w:pPr>
      <w:r w:rsidRPr="00FA125E">
        <w:t>The proposed action to be taken (e.g., Notice of Ballot Pool Formation / Notice of Ballot);</w:t>
      </w:r>
    </w:p>
    <w:p w14:paraId="4A1E20BB" w14:textId="3C1A2FCF" w:rsidR="00765768" w:rsidRPr="00FA125E" w:rsidRDefault="00765768" w:rsidP="00FA125E">
      <w:pPr>
        <w:pStyle w:val="ListParagraph"/>
      </w:pPr>
      <w:r w:rsidRPr="00FA125E">
        <w:t xml:space="preserve">When the Ballot Pool </w:t>
      </w:r>
      <w:r w:rsidR="00EF0A3E" w:rsidRPr="00FA125E">
        <w:t xml:space="preserve">will open and close; </w:t>
      </w:r>
    </w:p>
    <w:p w14:paraId="00DA8E50" w14:textId="77777777" w:rsidR="00765768" w:rsidRPr="00FA125E" w:rsidRDefault="00765768" w:rsidP="00FA125E">
      <w:pPr>
        <w:pStyle w:val="ListParagraph"/>
      </w:pPr>
      <w:r w:rsidRPr="00FA125E">
        <w:t>When the ballot will take place;</w:t>
      </w:r>
    </w:p>
    <w:p w14:paraId="5B924783" w14:textId="2B56C17E" w:rsidR="00765768" w:rsidRPr="00FA125E" w:rsidRDefault="00765768" w:rsidP="00FA125E">
      <w:pPr>
        <w:pStyle w:val="ListParagraph"/>
      </w:pPr>
      <w:r w:rsidRPr="00FA125E">
        <w:t>How to cast a vote; and</w:t>
      </w:r>
      <w:r w:rsidR="00EF0A3E" w:rsidRPr="00FA125E">
        <w:t>,</w:t>
      </w:r>
    </w:p>
    <w:p w14:paraId="15CE4C21" w14:textId="77777777" w:rsidR="00765768" w:rsidRPr="00FA125E" w:rsidRDefault="00765768" w:rsidP="00FA125E">
      <w:pPr>
        <w:pStyle w:val="ListParagraph"/>
      </w:pPr>
      <w:r w:rsidRPr="00FA125E">
        <w:t>The WECC website location of the proposed RRS or CRT and related documents for review.</w:t>
      </w:r>
    </w:p>
    <w:p w14:paraId="264B3D45" w14:textId="7BDC58B2" w:rsidR="00765768" w:rsidRPr="00BE7089" w:rsidRDefault="0085638D" w:rsidP="00765768">
      <w:r>
        <w:t xml:space="preserve">Unless explicitly allowed per the Expedited Process for Urgent Action, the </w:t>
      </w:r>
      <w:r w:rsidR="00765768" w:rsidRPr="00BE7089">
        <w:t xml:space="preserve">Ballot Pool registration window shall remain open for a period determined by WECC staff, but in no case shall the Ballot Pool registration window be open less than 14 days or more than </w:t>
      </w:r>
      <w:r w:rsidR="00A92FDB">
        <w:t xml:space="preserve">45 </w:t>
      </w:r>
      <w:r w:rsidR="00765768" w:rsidRPr="00BE7089">
        <w:t>days.</w:t>
      </w:r>
    </w:p>
    <w:p w14:paraId="2F7A4B25" w14:textId="4F43A70A"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5844E402" w:rsidR="00765768" w:rsidRDefault="00765768" w:rsidP="00765768">
      <w:r w:rsidRPr="00BE7089">
        <w:lastRenderedPageBreak/>
        <w:t xml:space="preserve">Once the ballot window opens, no Ballot Body member may join or withdraw from the Ballot Pool. The </w:t>
      </w:r>
      <w:r w:rsidR="004C34C8">
        <w:t xml:space="preserve">DOS </w:t>
      </w:r>
      <w:r>
        <w:t xml:space="preserve">has sole discretion to </w:t>
      </w:r>
      <w:r w:rsidRPr="00BE7089">
        <w:t>authorize deviations from this rule</w:t>
      </w:r>
      <w:r w:rsidR="001D1008">
        <w:t>.</w:t>
      </w:r>
      <w:r>
        <w:t xml:space="preserve"> </w:t>
      </w:r>
      <w:r w:rsidRPr="00BE7089">
        <w:t>Voting on a</w:t>
      </w:r>
      <w:r>
        <w:t>n</w:t>
      </w:r>
      <w:r w:rsidRPr="00BE7089">
        <w:t xml:space="preserve"> RRS or CRT shall be via electronic voting administered on the WECC website. The default voting window shall be a period of 14 days; however, the window may </w:t>
      </w:r>
      <w:r>
        <w:t xml:space="preserve">remain </w:t>
      </w:r>
      <w:r w:rsidR="007D4849" w:rsidRPr="00BE7089">
        <w:t>open</w:t>
      </w:r>
      <w:r w:rsidRPr="00BE7089">
        <w:t xml:space="preserve"> to a maximum of </w:t>
      </w:r>
      <w:r w:rsidR="00A25756">
        <w:t>45</w:t>
      </w:r>
      <w:r w:rsidRPr="00BE7089">
        <w:t xml:space="preserve"> days to reach a quorum.</w:t>
      </w:r>
      <w:r>
        <w:t xml:space="preserve"> </w:t>
      </w:r>
      <w:r w:rsidRPr="00BE7089">
        <w:t>Additional Standards Briefings may be held as needed.</w:t>
      </w:r>
      <w:r>
        <w:t xml:space="preserve"> </w:t>
      </w:r>
    </w:p>
    <w:p w14:paraId="5412CDBC" w14:textId="5EAA3A58" w:rsidR="00811120" w:rsidRPr="00FA125E" w:rsidRDefault="00811120" w:rsidP="00FA125E">
      <w:pPr>
        <w:pStyle w:val="Heading3"/>
      </w:pPr>
      <w:bookmarkStart w:id="44" w:name="_Hlk43811940"/>
      <w:r w:rsidRPr="00FA125E">
        <w:t xml:space="preserve">Treatment of </w:t>
      </w:r>
      <w:r w:rsidR="00822086" w:rsidRPr="00FA125E">
        <w:t xml:space="preserve">Abstentions </w:t>
      </w:r>
      <w:r w:rsidR="008E0735" w:rsidRPr="00FA125E">
        <w:t xml:space="preserve">and </w:t>
      </w:r>
      <w:r w:rsidR="00DB3170" w:rsidRPr="00FA125E">
        <w:t xml:space="preserve">Explanatory </w:t>
      </w:r>
      <w:r w:rsidR="00431889" w:rsidRPr="00FA125E">
        <w:t>Narrative during Ballot</w:t>
      </w:r>
      <w:r w:rsidR="00D91844" w:rsidRPr="00FA125E">
        <w:t xml:space="preserve"> </w:t>
      </w:r>
    </w:p>
    <w:bookmarkEnd w:id="44"/>
    <w:p w14:paraId="31004FDD" w14:textId="65EBF9F7" w:rsidR="00931563" w:rsidRDefault="00811120" w:rsidP="00B447FE">
      <w:r>
        <w:t>Each ballot requires a two-thirds quorum to proceed and a two-thirds Affirmative Fractional Majority Vote (AFMV) to approve a</w:t>
      </w:r>
      <w:r w:rsidR="00535D62">
        <w:t>n</w:t>
      </w:r>
      <w:r>
        <w:t xml:space="preserve"> RRS or CRT.</w:t>
      </w:r>
      <w:r w:rsidR="00061FBC">
        <w:t xml:space="preserve"> </w:t>
      </w:r>
    </w:p>
    <w:p w14:paraId="0F8EC614" w14:textId="03864767" w:rsidR="00A21EA4" w:rsidRDefault="001E2169" w:rsidP="00811120">
      <w:r>
        <w:t>Abstentions and n</w:t>
      </w:r>
      <w:r w:rsidR="00931563">
        <w:t xml:space="preserve">egative votes </w:t>
      </w:r>
      <w:r>
        <w:t xml:space="preserve">cast </w:t>
      </w:r>
      <w:r w:rsidR="00931563">
        <w:t>without an explanatory narrative</w:t>
      </w:r>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AFMV.</w:t>
      </w:r>
      <w:r w:rsidR="00A21EA4">
        <w:t xml:space="preserve"> </w:t>
      </w:r>
      <w:r w:rsidR="00811120">
        <w:t>To be</w:t>
      </w:r>
      <w:r w:rsidR="00161E2F">
        <w:t xml:space="preserve"> included </w:t>
      </w:r>
      <w:r w:rsidR="009D7444">
        <w:t xml:space="preserve">in the </w:t>
      </w:r>
      <w:r w:rsidR="00811120">
        <w:t>AFMV, a negative vote must be accompanied by a</w:t>
      </w:r>
      <w:r w:rsidR="0037163E">
        <w:t xml:space="preserve">n explanatory </w:t>
      </w:r>
      <w:r w:rsidR="00811120">
        <w:t xml:space="preserve">narrative </w:t>
      </w:r>
      <w:r w:rsidR="0037163E">
        <w:t xml:space="preserve">describing </w:t>
      </w:r>
      <w:r w:rsidR="00811120">
        <w:t>why the negative vote was cast.</w:t>
      </w:r>
    </w:p>
    <w:p w14:paraId="3F47813D" w14:textId="28E15F62" w:rsidR="00F6673D" w:rsidRDefault="00A42714" w:rsidP="00811120">
      <w:r>
        <w:t xml:space="preserve">The explanatory narrative </w:t>
      </w:r>
      <w:r w:rsidR="00657BFF">
        <w:t>will then be provided to the DT</w:t>
      </w:r>
      <w:r w:rsidR="00F6673D">
        <w:t>.</w:t>
      </w:r>
      <w:r w:rsidR="00061FBC">
        <w:t xml:space="preserve"> </w:t>
      </w:r>
    </w:p>
    <w:p w14:paraId="68ABD61F" w14:textId="66AAE6CF" w:rsidR="00B34DD5" w:rsidRDefault="008C7F64" w:rsidP="00811120">
      <w:r>
        <w:t xml:space="preserve">If the </w:t>
      </w:r>
      <w:r w:rsidR="00D036E4">
        <w:t>DT determine</w:t>
      </w:r>
      <w:r w:rsidR="00012EEB">
        <w:t>s</w:t>
      </w:r>
      <w:r w:rsidR="00D036E4">
        <w:t xml:space="preserve"> </w:t>
      </w:r>
      <w:r w:rsidR="0046676D">
        <w:t>the</w:t>
      </w:r>
      <w:r w:rsidR="006F468F">
        <w:t xml:space="preserve"> explanatory </w:t>
      </w:r>
      <w:r w:rsidR="0046676D">
        <w:t xml:space="preserve">narrative raises </w:t>
      </w:r>
      <w:r w:rsidR="00800D1E">
        <w:t xml:space="preserve">a new </w:t>
      </w:r>
      <w:r w:rsidR="002D6EDD">
        <w:t xml:space="preserve">reliability </w:t>
      </w:r>
      <w:r w:rsidR="00800D1E">
        <w:t xml:space="preserve">issue </w:t>
      </w:r>
      <w:r w:rsidR="00475B4A">
        <w:t xml:space="preserve">that should be addressed </w:t>
      </w:r>
      <w:r w:rsidR="000F40FD">
        <w:t xml:space="preserve">in </w:t>
      </w:r>
      <w:r w:rsidR="00475B4A">
        <w:t>the project, the DT will communicate that finding to the WSC</w:t>
      </w:r>
      <w:r w:rsidR="004A4DC6">
        <w:t xml:space="preserve"> and the project progression shall return to Step 5</w:t>
      </w:r>
      <w:r w:rsidR="000B6652">
        <w:t xml:space="preserve"> for resolution</w:t>
      </w:r>
      <w:r w:rsidR="00140DF7">
        <w:t>.</w:t>
      </w:r>
      <w:r w:rsidR="00811120">
        <w:rPr>
          <w:rStyle w:val="FootnoteReference"/>
        </w:rPr>
        <w:footnoteReference w:id="7"/>
      </w:r>
      <w:r w:rsidR="00061FBC">
        <w:t xml:space="preserve"> </w:t>
      </w:r>
    </w:p>
    <w:p w14:paraId="3CE830B9" w14:textId="3C234F2C" w:rsidR="00C82D71" w:rsidRDefault="00B34DD5" w:rsidP="00811120">
      <w:r>
        <w:t xml:space="preserve">If the DT </w:t>
      </w:r>
      <w:r w:rsidR="00830619">
        <w:t xml:space="preserve">or the WSC </w:t>
      </w:r>
      <w:r>
        <w:t xml:space="preserve">determines </w:t>
      </w:r>
      <w:r w:rsidR="00A42714">
        <w:t xml:space="preserve">the </w:t>
      </w:r>
      <w:r w:rsidR="00B61A39">
        <w:t xml:space="preserve">explanatory narrative </w:t>
      </w:r>
      <w:r w:rsidR="00C227E7">
        <w:t>indicates</w:t>
      </w:r>
      <w:r w:rsidR="00565D84">
        <w:t xml:space="preserve"> potential approval of the project “but for” </w:t>
      </w:r>
      <w:r w:rsidR="004717DD">
        <w:t xml:space="preserve">a minor change </w:t>
      </w:r>
      <w:r w:rsidR="00B85E4B">
        <w:t xml:space="preserve">or </w:t>
      </w:r>
      <w:r w:rsidR="000A73F1">
        <w:t xml:space="preserve">clarification, </w:t>
      </w:r>
      <w:r w:rsidR="00D77695">
        <w:t>th</w:t>
      </w:r>
      <w:r w:rsidR="004717DD">
        <w:t xml:space="preserve">e </w:t>
      </w:r>
      <w:r w:rsidR="007A05DD">
        <w:t xml:space="preserve">WSC </w:t>
      </w:r>
      <w:r w:rsidR="005C787F">
        <w:t>may remand the project to the DT</w:t>
      </w:r>
      <w:r w:rsidR="00917F2D">
        <w:t xml:space="preserve"> wi</w:t>
      </w:r>
      <w:r w:rsidR="007D188E">
        <w:t xml:space="preserve">th a request </w:t>
      </w:r>
      <w:r w:rsidR="000D3575">
        <w:t>to make remedial changes followed by an immediate ballot</w:t>
      </w:r>
      <w:r w:rsidR="0074555D">
        <w:t xml:space="preserve"> beginning at Step 7.</w:t>
      </w:r>
      <w:r w:rsidR="00061FBC">
        <w:t xml:space="preserve">  </w:t>
      </w:r>
    </w:p>
    <w:p w14:paraId="7DB086CD" w14:textId="2410B461" w:rsidR="00811120" w:rsidRDefault="00811120" w:rsidP="00FA125E">
      <w:pPr>
        <w:pStyle w:val="Heading3"/>
      </w:pPr>
      <w:r>
        <w:t>Quorum Calculation</w:t>
      </w:r>
    </w:p>
    <w:p w14:paraId="78307249" w14:textId="77777777" w:rsidR="00811120" w:rsidRDefault="00811120" w:rsidP="00811120">
      <w:r w:rsidRPr="00E106BB">
        <w:t>To determine whether a quorum has been met, sum</w:t>
      </w:r>
      <w:r>
        <w:t>:</w:t>
      </w:r>
    </w:p>
    <w:p w14:paraId="759D589F" w14:textId="3D8CE3D7" w:rsidR="00811120" w:rsidRDefault="00811120" w:rsidP="00811120">
      <w:pPr>
        <w:pStyle w:val="ListParagraph"/>
        <w:numPr>
          <w:ilvl w:val="0"/>
          <w:numId w:val="31"/>
        </w:numPr>
        <w:spacing w:before="120"/>
      </w:pPr>
      <w:r>
        <w:t xml:space="preserve">The </w:t>
      </w:r>
      <w:r w:rsidRPr="00E106BB">
        <w:t>affirmative votes</w:t>
      </w:r>
      <w:r w:rsidR="003F09AB">
        <w:t>;</w:t>
      </w:r>
    </w:p>
    <w:p w14:paraId="305DC094" w14:textId="0C937752" w:rsidR="00811120" w:rsidRDefault="00811120" w:rsidP="00811120">
      <w:pPr>
        <w:pStyle w:val="ListParagraph"/>
        <w:numPr>
          <w:ilvl w:val="0"/>
          <w:numId w:val="31"/>
        </w:numPr>
        <w:spacing w:before="120"/>
      </w:pPr>
      <w:r>
        <w:t xml:space="preserve">The </w:t>
      </w:r>
      <w:r w:rsidRPr="00E106BB">
        <w:t>negative votes</w:t>
      </w:r>
      <w:r w:rsidR="003F09AB">
        <w:t xml:space="preserve">; and </w:t>
      </w:r>
    </w:p>
    <w:p w14:paraId="17B1A823" w14:textId="5F7D75AA" w:rsidR="00811120" w:rsidRDefault="00811120" w:rsidP="00811120">
      <w:pPr>
        <w:pStyle w:val="ListParagraph"/>
        <w:numPr>
          <w:ilvl w:val="0"/>
          <w:numId w:val="31"/>
        </w:numPr>
        <w:spacing w:before="120"/>
      </w:pPr>
      <w:r>
        <w:t>The a</w:t>
      </w:r>
      <w:r w:rsidRPr="00E106BB">
        <w:t>bstentions</w:t>
      </w:r>
      <w:r w:rsidR="003F09AB">
        <w:t>.</w:t>
      </w:r>
    </w:p>
    <w:p w14:paraId="38E6FA7F" w14:textId="31A112EB" w:rsidR="00811120" w:rsidRPr="00E106BB" w:rsidRDefault="00811120" w:rsidP="00811120">
      <w:r>
        <w:t xml:space="preserve">Then, </w:t>
      </w:r>
      <w:r w:rsidRPr="00E106BB">
        <w:t>divide the sum by the total number in the Ballot Pool. If the quotient is</w:t>
      </w:r>
      <w:r w:rsidR="007D77A2">
        <w:t xml:space="preserve"> </w:t>
      </w:r>
      <w:r w:rsidR="003F09AB">
        <w:t>two-thirds</w:t>
      </w:r>
      <w:r w:rsidR="007D77A2">
        <w:t xml:space="preserve"> or </w:t>
      </w:r>
      <w:r w:rsidRPr="00E106BB">
        <w:t>greater</w:t>
      </w:r>
      <w:r w:rsidR="003F09AB">
        <w:t>,</w:t>
      </w:r>
      <w:r w:rsidRPr="00E106BB">
        <w:t xml:space="preserve"> the quorum has been met.</w:t>
      </w:r>
      <w:r w:rsidR="00061FBC">
        <w:t xml:space="preserve"> </w:t>
      </w:r>
    </w:p>
    <w:p w14:paraId="1024A478" w14:textId="77777777" w:rsidR="00811120" w:rsidRPr="00130F86" w:rsidRDefault="00811120" w:rsidP="00FA125E">
      <w:pPr>
        <w:pStyle w:val="Heading3"/>
      </w:pPr>
      <w:r w:rsidRPr="00130F86">
        <w:t>Ballot Calculation</w:t>
      </w:r>
    </w:p>
    <w:p w14:paraId="68C64A43" w14:textId="77777777" w:rsidR="00811120" w:rsidRPr="00BE7089" w:rsidRDefault="00811120" w:rsidP="00811120">
      <w:r w:rsidRPr="00BE7089">
        <w:t>Eligible members of the Ballot Pool may cast one vote in each SVS for which they are eligible.</w:t>
      </w:r>
    </w:p>
    <w:p w14:paraId="1A1BCECC" w14:textId="0B5F833D" w:rsidR="00811120" w:rsidRDefault="00811120" w:rsidP="00811120">
      <w:r>
        <w:t>The total number of votes cast is the sum of the affirmative votes plus the negative votes with an explanatory narrative.</w:t>
      </w:r>
      <w:r w:rsidR="00061FBC">
        <w:t xml:space="preserve"> </w:t>
      </w:r>
    </w:p>
    <w:p w14:paraId="37D93583" w14:textId="6A3A61AC" w:rsidR="00811120" w:rsidRPr="00BE7089" w:rsidRDefault="00811120" w:rsidP="00811120">
      <w:r w:rsidRPr="00BE7089">
        <w:lastRenderedPageBreak/>
        <w:t>Voting among the SVSs shall be weighted as follows:</w:t>
      </w:r>
    </w:p>
    <w:p w14:paraId="22E6AE6B" w14:textId="5CC1EB42" w:rsidR="00811120" w:rsidRDefault="00811120" w:rsidP="00811120">
      <w:r w:rsidRPr="00680418">
        <w:rPr>
          <w:i/>
          <w:iCs/>
        </w:rPr>
        <w:t>For an SVS in which 10 or more votes are cast</w:t>
      </w:r>
      <w:r>
        <w:t>, determine the AFMV by dividing that SVS’s affirmative votes by the number of all votes cast in that SVS. Calculate to the third decimal place and round to the nearest whole number. The result is the AFMV.</w:t>
      </w:r>
      <w:r w:rsidR="00061FBC">
        <w:t xml:space="preserve"> </w:t>
      </w:r>
    </w:p>
    <w:p w14:paraId="06BE11D2" w14:textId="77777777" w:rsidR="00811120" w:rsidRDefault="00811120" w:rsidP="00811120">
      <w:r>
        <w:t>For example, where 29 votes were cast in a single SVS:</w:t>
      </w:r>
    </w:p>
    <w:p w14:paraId="44BE5BB0" w14:textId="77777777" w:rsidR="00811120" w:rsidRDefault="00811120" w:rsidP="00FA125E">
      <w:pPr>
        <w:pStyle w:val="ListBullet"/>
      </w:pPr>
      <w:r>
        <w:t>18 “yes” votes</w:t>
      </w:r>
    </w:p>
    <w:p w14:paraId="55D043D5" w14:textId="4728A628" w:rsidR="00811120" w:rsidRPr="00680418" w:rsidRDefault="00811120" w:rsidP="00FA125E">
      <w:pPr>
        <w:pStyle w:val="ListBullet"/>
        <w:rPr>
          <w:u w:val="double"/>
        </w:rPr>
      </w:pPr>
      <w:r w:rsidRPr="00680418">
        <w:rPr>
          <w:u w:val="double"/>
        </w:rPr>
        <w:t>11 “</w:t>
      </w:r>
      <w:r w:rsidR="00EA620D" w:rsidRPr="00680418">
        <w:rPr>
          <w:u w:val="double"/>
        </w:rPr>
        <w:t>no”</w:t>
      </w:r>
      <w:r w:rsidR="00EA620D">
        <w:rPr>
          <w:u w:val="double"/>
        </w:rPr>
        <w:t xml:space="preserve"> </w:t>
      </w:r>
      <w:r w:rsidR="00EA620D" w:rsidRPr="00680418">
        <w:rPr>
          <w:u w:val="double"/>
        </w:rPr>
        <w:t>votes</w:t>
      </w:r>
    </w:p>
    <w:p w14:paraId="31C71480" w14:textId="479A189C" w:rsidR="00811120" w:rsidRDefault="00EA620D" w:rsidP="00FA125E">
      <w:pPr>
        <w:pStyle w:val="ListBullet"/>
      </w:pPr>
      <w:r>
        <w:t>29 votes</w:t>
      </w:r>
      <w:r w:rsidR="00811120">
        <w:t xml:space="preserve"> cast</w:t>
      </w:r>
    </w:p>
    <w:p w14:paraId="3D6A4F56" w14:textId="166B32C6" w:rsidR="00811120" w:rsidRDefault="00811120" w:rsidP="003F09AB">
      <w:pPr>
        <w:pStyle w:val="ListBullet"/>
      </w:pPr>
      <w:r>
        <w:t>The AFMV = 18/29 or .620. The quotient is rounded down to 62</w:t>
      </w:r>
      <w:r w:rsidR="003F09AB">
        <w:t>%</w:t>
      </w:r>
      <w:r>
        <w:t>.</w:t>
      </w:r>
      <w:r w:rsidR="00061FBC">
        <w:t xml:space="preserve"> </w:t>
      </w:r>
    </w:p>
    <w:p w14:paraId="3272721B" w14:textId="48E56C27" w:rsidR="00811120" w:rsidRDefault="00811120" w:rsidP="00811120">
      <w:r w:rsidRPr="00680418">
        <w:rPr>
          <w:i/>
          <w:iCs/>
        </w:rPr>
        <w:t>For an SVS in which nine or fewer votes are cast</w:t>
      </w:r>
      <w:r>
        <w:t>, determine the AFMV by first dividing the affirmative votes by the number of all votes cast in that SVS.</w:t>
      </w:r>
      <w:r w:rsidR="00385D63">
        <w:t xml:space="preserve"> </w:t>
      </w:r>
      <w:r>
        <w:t>Calculate to the third decimal place and round to the nearest whole number. Multipl</w:t>
      </w:r>
      <w:r w:rsidR="003F09AB">
        <w:t>y</w:t>
      </w:r>
      <w:r>
        <w:t xml:space="preserve"> that quotient by 10</w:t>
      </w:r>
      <w:r w:rsidR="003F09AB">
        <w:t>%</w:t>
      </w:r>
      <w:r>
        <w:t>.</w:t>
      </w:r>
      <w:r>
        <w:rPr>
          <w:rStyle w:val="FootnoteReference"/>
        </w:rPr>
        <w:footnoteReference w:id="8"/>
      </w:r>
      <w:r>
        <w:t xml:space="preserve"> Then, </w:t>
      </w:r>
      <w:r w:rsidR="00691496">
        <w:t>multiply</w:t>
      </w:r>
      <w:r>
        <w:t xml:space="preserve"> the result </w:t>
      </w:r>
      <w:r w:rsidR="003F09AB">
        <w:t>by</w:t>
      </w:r>
      <w:r>
        <w:t xml:space="preserve"> the number of voters in that SVS.</w:t>
      </w:r>
    </w:p>
    <w:p w14:paraId="6B9043CE" w14:textId="77777777" w:rsidR="00811120" w:rsidRDefault="00811120" w:rsidP="00811120">
      <w:r>
        <w:t xml:space="preserve">For example, where seven votes were cast in a single SVS: </w:t>
      </w:r>
    </w:p>
    <w:p w14:paraId="1886396A" w14:textId="2472FBA5" w:rsidR="00811120" w:rsidRDefault="003F09AB" w:rsidP="00FA125E">
      <w:pPr>
        <w:pStyle w:val="ListBullet"/>
      </w:pPr>
      <w:r>
        <w:t>Six</w:t>
      </w:r>
      <w:r w:rsidR="00811120">
        <w:t xml:space="preserve"> “yes” votes</w:t>
      </w:r>
    </w:p>
    <w:p w14:paraId="7055497B" w14:textId="6A2CBCDC" w:rsidR="00811120" w:rsidRPr="008F46FA" w:rsidRDefault="003F09AB" w:rsidP="00FA125E">
      <w:pPr>
        <w:pStyle w:val="ListBullet"/>
        <w:rPr>
          <w:u w:val="double"/>
        </w:rPr>
      </w:pPr>
      <w:r>
        <w:rPr>
          <w:u w:val="double"/>
        </w:rPr>
        <w:t>One</w:t>
      </w:r>
      <w:r w:rsidR="00811120" w:rsidRPr="008F46FA">
        <w:rPr>
          <w:u w:val="double"/>
        </w:rPr>
        <w:t xml:space="preserve"> “</w:t>
      </w:r>
      <w:r w:rsidR="00EA620D" w:rsidRPr="008F46FA">
        <w:rPr>
          <w:u w:val="double"/>
        </w:rPr>
        <w:t>no”</w:t>
      </w:r>
      <w:r w:rsidR="00EA620D">
        <w:rPr>
          <w:u w:val="double"/>
        </w:rPr>
        <w:t xml:space="preserve"> </w:t>
      </w:r>
      <w:r w:rsidR="00EA620D" w:rsidRPr="008F46FA">
        <w:rPr>
          <w:u w:val="double"/>
        </w:rPr>
        <w:t>vote</w:t>
      </w:r>
    </w:p>
    <w:p w14:paraId="12F0F9CF" w14:textId="51562E8B" w:rsidR="00811120" w:rsidRDefault="003F09AB" w:rsidP="00FA125E">
      <w:pPr>
        <w:pStyle w:val="ListBullet"/>
      </w:pPr>
      <w:r>
        <w:t>Seven</w:t>
      </w:r>
      <w:r w:rsidR="00811120">
        <w:t xml:space="preserve"> votes cast</w:t>
      </w:r>
    </w:p>
    <w:p w14:paraId="41AC3312" w14:textId="429B55E7" w:rsidR="00811120" w:rsidRDefault="00811120" w:rsidP="00FA125E">
      <w:pPr>
        <w:pStyle w:val="ListBullet"/>
      </w:pPr>
      <w:r>
        <w:t>The AFMV = ((6/7) X .10) X 7 = 60</w:t>
      </w:r>
      <w:r w:rsidR="003F09AB">
        <w:t>%</w:t>
      </w:r>
      <w:r>
        <w:t xml:space="preserve">. The quotient required no rounding. </w:t>
      </w:r>
    </w:p>
    <w:p w14:paraId="06300E36" w14:textId="6A07F1B2" w:rsidR="00811120" w:rsidRDefault="00811120" w:rsidP="00811120">
      <w:pPr>
        <w:pStyle w:val="ListBullet"/>
      </w:pPr>
      <w:r>
        <w:t>Add the AFMVs for all SVS. Divide that sum by the number of SVSs in which a vote was cast.</w:t>
      </w:r>
      <w:r>
        <w:rPr>
          <w:rStyle w:val="FootnoteReference"/>
        </w:rPr>
        <w:footnoteReference w:id="9"/>
      </w:r>
      <w:r>
        <w:t xml:space="preserve"> If the sum of the AFMV for all SVSs divided by the number of voting SVSs is at least</w:t>
      </w:r>
      <w:r w:rsidR="0004703B">
        <w:t xml:space="preserve"> </w:t>
      </w:r>
      <w:r>
        <w:t>two</w:t>
      </w:r>
      <w:r w:rsidR="003F09AB">
        <w:t>-</w:t>
      </w:r>
      <w:r>
        <w:t>thirds</w:t>
      </w:r>
      <w:r w:rsidR="00973A29">
        <w:t xml:space="preserve">, </w:t>
      </w:r>
      <w:r>
        <w:t xml:space="preserve">the RRS or CRT has been approved. </w:t>
      </w:r>
    </w:p>
    <w:p w14:paraId="7C9DEAD5" w14:textId="298789B5" w:rsidR="00811120" w:rsidRPr="00D70DBD" w:rsidRDefault="00811120" w:rsidP="00811120">
      <w:r w:rsidRPr="00BE7089">
        <w:t xml:space="preserve">After a </w:t>
      </w:r>
      <w:r w:rsidR="00D70DBD" w:rsidRPr="007D77A2">
        <w:t>valid</w:t>
      </w:r>
      <w:r w:rsidR="00D70DBD">
        <w:t xml:space="preserve"> </w:t>
      </w:r>
      <w:r w:rsidRPr="00BE7089">
        <w:t xml:space="preserve">vote by the Ballot </w:t>
      </w:r>
      <w:r w:rsidRPr="00D17CC7">
        <w:t>Pool, the WSC shall take one of the following actions</w:t>
      </w:r>
      <w:r w:rsidRPr="00D70DBD">
        <w:t>:</w:t>
      </w:r>
    </w:p>
    <w:p w14:paraId="5146D694" w14:textId="4DD0196C" w:rsidR="00811120" w:rsidRDefault="00F53B3C" w:rsidP="00811120">
      <w:pPr>
        <w:pStyle w:val="ListParagraph"/>
        <w:numPr>
          <w:ilvl w:val="0"/>
          <w:numId w:val="30"/>
        </w:numPr>
        <w:spacing w:before="120"/>
      </w:pPr>
      <w:r>
        <w:t xml:space="preserve">If the </w:t>
      </w:r>
      <w:r w:rsidR="00730438">
        <w:t xml:space="preserve">Ballot Pool approves the project, </w:t>
      </w:r>
      <w:r>
        <w:t>f</w:t>
      </w:r>
      <w:r w:rsidR="00C45EEB" w:rsidRPr="001B093C">
        <w:t>orward the project to the Board with a request for disposition</w:t>
      </w:r>
      <w:r w:rsidR="003E219E">
        <w:t xml:space="preserve">. </w:t>
      </w:r>
      <w:r w:rsidR="00D55635">
        <w:t>(</w:t>
      </w:r>
      <w:r w:rsidR="00B0072E">
        <w:t>The WSC is not required to endorse the project and may submit a recommendation for disposition that is contrary to the finding of the Ballot Pool.</w:t>
      </w:r>
      <w:r w:rsidR="00D55635">
        <w:t>)</w:t>
      </w:r>
      <w:r w:rsidR="00811120" w:rsidRPr="00D17CC7">
        <w:t xml:space="preserve"> </w:t>
      </w:r>
    </w:p>
    <w:p w14:paraId="4EBB1949" w14:textId="7E822D4B" w:rsidR="00F431AF" w:rsidRDefault="002D04CC" w:rsidP="00F431AF">
      <w:pPr>
        <w:pStyle w:val="ListParagraph"/>
        <w:numPr>
          <w:ilvl w:val="0"/>
          <w:numId w:val="30"/>
        </w:numPr>
        <w:spacing w:before="120"/>
      </w:pPr>
      <w:r>
        <w:t xml:space="preserve">If the </w:t>
      </w:r>
      <w:r w:rsidR="00730438">
        <w:t>Ballot Pool rejects the project</w:t>
      </w:r>
      <w:r w:rsidR="00534004">
        <w:t xml:space="preserve"> but </w:t>
      </w:r>
      <w:r w:rsidR="005206D8">
        <w:t>provides</w:t>
      </w:r>
      <w:r w:rsidR="009641D8">
        <w:t xml:space="preserve"> </w:t>
      </w:r>
      <w:r w:rsidR="003F09AB">
        <w:t xml:space="preserve">an </w:t>
      </w:r>
      <w:r w:rsidR="00A943B4">
        <w:t xml:space="preserve">explanatory narrative </w:t>
      </w:r>
      <w:r w:rsidR="009641D8">
        <w:t xml:space="preserve">meeting the </w:t>
      </w:r>
      <w:r w:rsidR="00DB4C49">
        <w:t xml:space="preserve">above criteria, </w:t>
      </w:r>
      <w:r w:rsidR="003E219E">
        <w:t>r</w:t>
      </w:r>
      <w:r w:rsidR="00F431AF">
        <w:t xml:space="preserve">emand the project to the DT </w:t>
      </w:r>
      <w:r w:rsidR="0092563A">
        <w:t>for remedial action. (See above.)</w:t>
      </w:r>
    </w:p>
    <w:p w14:paraId="25A2C681" w14:textId="7AC5B5DF" w:rsidR="00811120" w:rsidRDefault="00811120" w:rsidP="00811120">
      <w:pPr>
        <w:pStyle w:val="ListParagraph"/>
        <w:numPr>
          <w:ilvl w:val="0"/>
          <w:numId w:val="30"/>
        </w:numPr>
        <w:spacing w:before="120"/>
      </w:pPr>
      <w:r w:rsidRPr="001B093C">
        <w:lastRenderedPageBreak/>
        <w:t xml:space="preserve">If the </w:t>
      </w:r>
      <w:r w:rsidR="00534004">
        <w:t xml:space="preserve">Ballot Pool rejects the project without </w:t>
      </w:r>
      <w:r w:rsidR="00482CFA">
        <w:t>explanatory narrative meeting the above criteria, the project will be deemed complete with no further action taken</w:t>
      </w:r>
      <w:r w:rsidR="000D1F95">
        <w:t xml:space="preserve">, </w:t>
      </w:r>
      <w:r w:rsidRPr="00BE7089">
        <w:t>except as allowed in the Regulatory Directive section of these Procedures.</w:t>
      </w:r>
      <w:r>
        <w:t xml:space="preserve"> </w:t>
      </w:r>
    </w:p>
    <w:p w14:paraId="013B22A5" w14:textId="6130D3DD" w:rsidR="00765768" w:rsidRPr="00155BF1" w:rsidRDefault="00765768" w:rsidP="00FA125E">
      <w:pPr>
        <w:pStyle w:val="Steps"/>
      </w:pPr>
      <w:bookmarkStart w:id="45" w:name="Step_10_–_Initiate_the_Appeals_Process_–"/>
      <w:bookmarkStart w:id="46" w:name="_bookmark11"/>
      <w:bookmarkStart w:id="47" w:name="_Toc46218257"/>
      <w:bookmarkStart w:id="48" w:name="_Hlk43812330"/>
      <w:bookmarkEnd w:id="45"/>
      <w:bookmarkEnd w:id="46"/>
      <w:r w:rsidRPr="00155BF1">
        <w:t>Step 10</w:t>
      </w:r>
      <w:r w:rsidR="003F09AB">
        <w:t>—</w:t>
      </w:r>
      <w:r w:rsidRPr="00155BF1">
        <w:t>Initiate the Appeals Process</w:t>
      </w:r>
      <w:r w:rsidR="003F09AB">
        <w:t>—</w:t>
      </w:r>
      <w:r w:rsidRPr="00155BF1">
        <w:t>If Needed</w:t>
      </w:r>
      <w:bookmarkEnd w:id="47"/>
    </w:p>
    <w:bookmarkEnd w:id="48"/>
    <w:p w14:paraId="54ACC432" w14:textId="5CA34538"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r w:rsidR="004E57CF">
        <w:t xml:space="preserve">DOS </w:t>
      </w:r>
      <w:r w:rsidRPr="00A034B6">
        <w:t xml:space="preserve">no later than 10 days after the alleged </w:t>
      </w:r>
      <w:r>
        <w:t>grounds for appeal arise</w:t>
      </w:r>
      <w:r w:rsidRPr="00A034B6">
        <w:t xml:space="preserve">. If the </w:t>
      </w:r>
      <w:r w:rsidR="006B4B65">
        <w:t>tenth</w:t>
      </w:r>
      <w:r w:rsidR="006B4B65" w:rsidRPr="00A034B6">
        <w:t xml:space="preserve"> </w:t>
      </w:r>
      <w:r w:rsidRPr="00A034B6">
        <w:t xml:space="preserve">day is not a WECC business day, the appeal must be </w:t>
      </w:r>
      <w:r>
        <w:t>submitted</w:t>
      </w:r>
      <w:r w:rsidRPr="00A034B6">
        <w:t xml:space="preserve"> no later than the next WECC business day. </w:t>
      </w:r>
    </w:p>
    <w:p w14:paraId="3AB8610D" w14:textId="579DA093" w:rsidR="00765768" w:rsidRDefault="00765768" w:rsidP="00765768">
      <w:pPr>
        <w:rPr>
          <w:szCs w:val="24"/>
        </w:rPr>
      </w:pPr>
      <w:r w:rsidRPr="00A034B6">
        <w:t xml:space="preserve">The </w:t>
      </w:r>
      <w:r w:rsidR="00960B66">
        <w:t xml:space="preserve">DOS will </w:t>
      </w:r>
      <w:r w:rsidRPr="00A034B6">
        <w:t xml:space="preserve">attempt resolution with the </w:t>
      </w:r>
      <w:r>
        <w:t>appellant</w:t>
      </w:r>
      <w:r w:rsidRPr="00A034B6">
        <w:t>.</w:t>
      </w:r>
      <w:r>
        <w:t xml:space="preserve"> </w:t>
      </w:r>
      <w:r w:rsidRPr="00A034B6">
        <w:t xml:space="preserve">If resolution cannot be reached, the </w:t>
      </w:r>
      <w:r w:rsidR="008C1C6A">
        <w:t xml:space="preserve">DOS </w:t>
      </w:r>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5526122D" w:rsidR="00765768" w:rsidRPr="00155BF1" w:rsidRDefault="00765768" w:rsidP="00FA125E">
      <w:pPr>
        <w:pStyle w:val="Steps"/>
      </w:pPr>
      <w:bookmarkStart w:id="49" w:name="Step_11_–_Obtain_Board_Approval"/>
      <w:bookmarkStart w:id="50" w:name="_Toc46218258"/>
      <w:bookmarkEnd w:id="49"/>
      <w:r w:rsidRPr="00155BF1">
        <w:t>Step 11</w:t>
      </w:r>
      <w:r w:rsidR="006B4B65">
        <w:t>—</w:t>
      </w:r>
      <w:r w:rsidRPr="00155BF1">
        <w:t>Obtain Board Approval</w:t>
      </w:r>
      <w:bookmarkEnd w:id="50"/>
    </w:p>
    <w:p w14:paraId="3B905D76" w14:textId="4762DF18"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r w:rsidR="00230072">
        <w:t>per</w:t>
      </w:r>
      <w:r w:rsidR="00C20EBA">
        <w:t xml:space="preserve"> </w:t>
      </w:r>
      <w:r>
        <w:t xml:space="preserve">the WECC Bylaws. </w:t>
      </w:r>
      <w:r w:rsidRPr="00BE7089">
        <w:t xml:space="preserve">The Board shall consider the RRS or CRT for approval no later than its next regularly scheduled meeting after presentation by the WSC with a request for approval. </w:t>
      </w:r>
    </w:p>
    <w:p w14:paraId="2C5E5168" w14:textId="4BC7B214"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470795E9" w:rsidR="00765768" w:rsidRPr="00BE7089" w:rsidRDefault="00765768" w:rsidP="00765768">
      <w:r w:rsidRPr="00BE7089">
        <w:t xml:space="preserve">If a CRT is approved by the Board, WECC shall post the final CRT on its website and the SAR will be deemed complete. The effective date will be </w:t>
      </w:r>
      <w:r w:rsidR="00880207">
        <w:t xml:space="preserve">as </w:t>
      </w:r>
      <w:r w:rsidRPr="00BE7089">
        <w:t>approved by the Board.</w:t>
      </w:r>
    </w:p>
    <w:p w14:paraId="1426AD6D" w14:textId="090EF406" w:rsidR="00765768" w:rsidRPr="00BE7089" w:rsidRDefault="00765768" w:rsidP="00765768">
      <w:r w:rsidRPr="00BE7089">
        <w:t>If an RRS is approved by the Board, WECC shall forward the RRS to NERC with a request for approval and subsequent regulatory disposition</w:t>
      </w:r>
      <w:r w:rsidR="00880207">
        <w:t>,</w:t>
      </w:r>
      <w:r w:rsidRPr="00BE7089">
        <w:t xml:space="preserve"> as needed.</w:t>
      </w:r>
      <w:r>
        <w:t xml:space="preserve"> </w:t>
      </w:r>
    </w:p>
    <w:p w14:paraId="2AD7FB53" w14:textId="5F9965B5" w:rsidR="00765768" w:rsidRPr="00BE7089" w:rsidRDefault="00765768" w:rsidP="00765768">
      <w:r w:rsidRPr="00BE7089">
        <w:t xml:space="preserve">If the RRS or CRT is rejected by the Board, the Board may either deem the SAR complete or remand the RRS or CRT to the </w:t>
      </w:r>
      <w:r w:rsidR="000F510D">
        <w:t>WSC</w:t>
      </w:r>
      <w:r w:rsidR="000F510D" w:rsidRPr="00BE7089">
        <w:t xml:space="preserve"> </w:t>
      </w:r>
      <w:r w:rsidRPr="00BE7089">
        <w:t>with specific guidance as to proposed changes.</w:t>
      </w:r>
    </w:p>
    <w:p w14:paraId="3AD178FE" w14:textId="26D3860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1ADFB443" w:rsidR="00765768" w:rsidRPr="00155BF1" w:rsidRDefault="00765768" w:rsidP="00FA125E">
      <w:pPr>
        <w:pStyle w:val="Steps"/>
      </w:pPr>
      <w:bookmarkStart w:id="51" w:name="Step_12_–_Submit_RRSs_for_ERO_Review,_FE"/>
      <w:bookmarkStart w:id="52" w:name="_bookmark13"/>
      <w:bookmarkStart w:id="53" w:name="_TOC_250000"/>
      <w:bookmarkStart w:id="54" w:name="_Toc46218259"/>
      <w:bookmarkEnd w:id="51"/>
      <w:bookmarkEnd w:id="52"/>
      <w:r w:rsidRPr="00155BF1">
        <w:t>Step 12</w:t>
      </w:r>
      <w:r w:rsidR="006B4B65">
        <w:t>—</w:t>
      </w:r>
      <w:r w:rsidRPr="00155BF1">
        <w:t>Submit for NERC and FERC Approval and Implementation</w:t>
      </w:r>
      <w:bookmarkEnd w:id="53"/>
      <w:bookmarkEnd w:id="54"/>
    </w:p>
    <w:p w14:paraId="6622124D" w14:textId="77777777" w:rsidR="00765768" w:rsidRPr="00BE7089" w:rsidRDefault="00765768" w:rsidP="00765768">
      <w:r w:rsidRPr="00BE7089">
        <w:t>Note: Step 12 only applies to RRSs.</w:t>
      </w:r>
    </w:p>
    <w:p w14:paraId="5BC64810" w14:textId="39F07AC7" w:rsidR="00765768" w:rsidRPr="00155BF1" w:rsidRDefault="00765768" w:rsidP="00FA125E">
      <w:pPr>
        <w:pStyle w:val="Steps"/>
      </w:pPr>
      <w:bookmarkStart w:id="55" w:name="Step_13_–_Retire_an_OP"/>
      <w:bookmarkStart w:id="56" w:name="_bookmark14"/>
      <w:bookmarkStart w:id="57" w:name="_Toc46218260"/>
      <w:bookmarkEnd w:id="55"/>
      <w:bookmarkEnd w:id="56"/>
      <w:r w:rsidRPr="00155BF1">
        <w:lastRenderedPageBreak/>
        <w:t>Step 13</w:t>
      </w:r>
      <w:r w:rsidR="006B4B65">
        <w:t>—</w:t>
      </w:r>
      <w:r w:rsidRPr="00155BF1">
        <w:t>Retire a CRT</w:t>
      </w:r>
      <w:bookmarkEnd w:id="57"/>
    </w:p>
    <w:p w14:paraId="60C78027" w14:textId="61F5E91F" w:rsidR="00765768" w:rsidRDefault="009C01A5" w:rsidP="00765768">
      <w:r>
        <w:t xml:space="preserve">Upon the recommendation of a DT, the </w:t>
      </w:r>
      <w:r w:rsidR="00765768">
        <w:t xml:space="preserve">WSC may retire all or a </w:t>
      </w:r>
      <w:r w:rsidR="006B4B65">
        <w:t xml:space="preserve">part </w:t>
      </w:r>
      <w:r w:rsidR="00765768">
        <w:t xml:space="preserve">of a CRT with no further due process on a finding that each of the following criteria has been met: </w:t>
      </w:r>
    </w:p>
    <w:p w14:paraId="608C390C" w14:textId="1BC95E5C" w:rsidR="00765768" w:rsidRPr="006B4B65" w:rsidRDefault="00765768" w:rsidP="00FA125E">
      <w:pPr>
        <w:pStyle w:val="ListParagraph"/>
        <w:numPr>
          <w:ilvl w:val="0"/>
          <w:numId w:val="40"/>
        </w:numPr>
      </w:pPr>
      <w:r w:rsidRPr="006B4B65">
        <w:t xml:space="preserve">The substance of the document is addressed in a NERC Reliability Standard, other WECC Criteria, or </w:t>
      </w:r>
      <w:r w:rsidR="008665A1" w:rsidRPr="006B4B65">
        <w:t>another</w:t>
      </w:r>
      <w:r w:rsidRPr="006B4B65">
        <w:t xml:space="preserve"> regulatory document; and</w:t>
      </w:r>
    </w:p>
    <w:p w14:paraId="7E757C3D" w14:textId="77777777" w:rsidR="00765768" w:rsidRPr="006B4B65" w:rsidRDefault="00765768" w:rsidP="00FA125E">
      <w:pPr>
        <w:pStyle w:val="ListParagraph"/>
      </w:pPr>
      <w:r w:rsidRPr="006B4B65">
        <w:t xml:space="preserve">Retirement of the CRT will not cause a reliability gap. </w:t>
      </w:r>
    </w:p>
    <w:p w14:paraId="7C2C2C2A" w14:textId="1735C285" w:rsidR="00765768" w:rsidRPr="00BE7089" w:rsidRDefault="00765768" w:rsidP="00765768">
      <w:r w:rsidRPr="00BE7089">
        <w:t xml:space="preserve">Proposed retirement of a CRT </w:t>
      </w:r>
      <w:r>
        <w:t xml:space="preserve">under this section </w:t>
      </w:r>
      <w:r w:rsidRPr="00BE7089">
        <w:t xml:space="preserve">shall be noticed </w:t>
      </w:r>
      <w:r w:rsidR="000A1BE4">
        <w:t xml:space="preserve">on the WSC agenda and </w:t>
      </w:r>
      <w:r w:rsidR="00736F11">
        <w:t xml:space="preserve">vetted during </w:t>
      </w:r>
      <w:r w:rsidRPr="00BE7089">
        <w:t>at least one WSC meeting.</w:t>
      </w:r>
      <w:r>
        <w:t xml:space="preserve"> </w:t>
      </w:r>
    </w:p>
    <w:p w14:paraId="45A738C6" w14:textId="72179053" w:rsidR="00765768" w:rsidRPr="00155BF1" w:rsidRDefault="00765768" w:rsidP="00FA125E">
      <w:pPr>
        <w:pStyle w:val="Steps"/>
      </w:pPr>
      <w:bookmarkStart w:id="58" w:name="Step_14_–_Submit_a_Request_for_Interpret"/>
      <w:bookmarkStart w:id="59" w:name="_bookmark15"/>
      <w:bookmarkStart w:id="60" w:name="_Toc46218261"/>
      <w:bookmarkEnd w:id="58"/>
      <w:bookmarkEnd w:id="59"/>
      <w:r w:rsidRPr="00155BF1">
        <w:t>Step 14</w:t>
      </w:r>
      <w:r w:rsidR="006B4B65">
        <w:t>—</w:t>
      </w:r>
      <w:r w:rsidRPr="00155BF1">
        <w:t>Submit a Request for Interpretation</w:t>
      </w:r>
      <w:bookmarkEnd w:id="60"/>
    </w:p>
    <w:p w14:paraId="3B39E4F6" w14:textId="77E1CF51" w:rsidR="00765768" w:rsidRPr="00BE7089" w:rsidRDefault="00765768" w:rsidP="00765768">
      <w:r w:rsidRPr="00BE7089">
        <w:t xml:space="preserve">A valid </w:t>
      </w:r>
      <w:r w:rsidR="00A93503">
        <w:t>R</w:t>
      </w:r>
      <w:r w:rsidRPr="00BE7089">
        <w:t xml:space="preserve">equest for </w:t>
      </w:r>
      <w:r w:rsidR="00A93503">
        <w:t>I</w:t>
      </w:r>
      <w:r w:rsidRPr="00BE7089">
        <w:t xml:space="preserve">nterpretation (RI) is one that requests additional clarity about one or more requirements in approved RRSs or CRTs but does not request approval as to how to comply with one or more requirements. A valid RI response provides additional clarity about one or more </w:t>
      </w:r>
      <w:r w:rsidR="00A612B0" w:rsidRPr="00BE7089">
        <w:t>requirements but</w:t>
      </w:r>
      <w:r w:rsidRPr="00BE7089">
        <w:t xml:space="preserve"> does not expand on any requirement and does not explain how to comply with any requirement. Any entity that is directly and materially affected by the reliability of the North American Bulk</w:t>
      </w:r>
      <w:r w:rsidR="006B4B65">
        <w:t xml:space="preserve"> </w:t>
      </w:r>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2EAA65D2"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6283D378" w:rsidR="00765768" w:rsidRPr="00BE7089" w:rsidRDefault="00765768" w:rsidP="00765768">
      <w:r w:rsidRPr="00BE7089">
        <w:t>For example, a</w:t>
      </w:r>
      <w:r>
        <w:t>n</w:t>
      </w:r>
      <w:r w:rsidRPr="00BE7089">
        <w:t xml:space="preserve"> RI may be rejected where it</w:t>
      </w:r>
      <w:r w:rsidR="006B4B65">
        <w:t>—</w:t>
      </w:r>
    </w:p>
    <w:p w14:paraId="523D62F4" w14:textId="76548E7D" w:rsidR="00765768" w:rsidRPr="006B4B65" w:rsidRDefault="00765768" w:rsidP="00FA125E">
      <w:pPr>
        <w:pStyle w:val="ListParagraph"/>
        <w:numPr>
          <w:ilvl w:val="0"/>
          <w:numId w:val="41"/>
        </w:numPr>
      </w:pPr>
      <w:r w:rsidRPr="006B4B65">
        <w:t xml:space="preserve">Requests approval of a </w:t>
      </w:r>
      <w:r w:rsidR="008913B2" w:rsidRPr="006B4B65">
        <w:t xml:space="preserve">specific </w:t>
      </w:r>
      <w:r w:rsidRPr="006B4B65">
        <w:t>compliance approach;</w:t>
      </w:r>
    </w:p>
    <w:p w14:paraId="180A077B" w14:textId="77777777" w:rsidR="00765768" w:rsidRPr="006B4B65" w:rsidRDefault="00765768" w:rsidP="00FA125E">
      <w:pPr>
        <w:pStyle w:val="ListParagraph"/>
      </w:pPr>
      <w:r w:rsidRPr="006B4B65">
        <w:t>Identifies a gap or perceived weakness in the approved RRS or CRT;</w:t>
      </w:r>
    </w:p>
    <w:p w14:paraId="53CDAF2E" w14:textId="77777777" w:rsidR="00765768" w:rsidRPr="006B4B65" w:rsidRDefault="00765768" w:rsidP="00FA125E">
      <w:pPr>
        <w:pStyle w:val="ListParagraph"/>
      </w:pPr>
      <w:r w:rsidRPr="006B4B65">
        <w:t xml:space="preserve">Can be addressed by an active standard drafting team; </w:t>
      </w:r>
    </w:p>
    <w:p w14:paraId="14C66C14" w14:textId="77777777" w:rsidR="00765768" w:rsidRPr="006B4B65" w:rsidRDefault="00765768" w:rsidP="00FA125E">
      <w:pPr>
        <w:pStyle w:val="ListParagraph"/>
      </w:pPr>
      <w:r w:rsidRPr="006B4B65">
        <w:t>Requests clarification of any element of an RRS or CRT other than a Requirement;</w:t>
      </w:r>
    </w:p>
    <w:p w14:paraId="1B2CF21E" w14:textId="24EB40D5" w:rsidR="00765768" w:rsidRPr="006B4B65" w:rsidRDefault="00765768" w:rsidP="00FA125E">
      <w:pPr>
        <w:pStyle w:val="ListParagraph"/>
      </w:pPr>
      <w:r w:rsidRPr="006B4B65">
        <w:t>Asks a question</w:t>
      </w:r>
      <w:r w:rsidR="00E4552A" w:rsidRPr="006B4B65">
        <w:t xml:space="preserve"> that </w:t>
      </w:r>
      <w:r w:rsidRPr="006B4B65">
        <w:t>has already been addressed in the record;</w:t>
      </w:r>
    </w:p>
    <w:p w14:paraId="26511AE1" w14:textId="77777777" w:rsidR="00765768" w:rsidRPr="006B4B65" w:rsidRDefault="00765768" w:rsidP="00FA125E">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FA125E">
      <w:pPr>
        <w:pStyle w:val="ListParagraph"/>
      </w:pPr>
      <w:r w:rsidRPr="006B4B65">
        <w:lastRenderedPageBreak/>
        <w:t>Seeks to expand the scope of an RRS or CRT; or</w:t>
      </w:r>
    </w:p>
    <w:p w14:paraId="3B966E70" w14:textId="77777777" w:rsidR="00765768" w:rsidRPr="00BE7089" w:rsidRDefault="00765768" w:rsidP="00FA125E">
      <w:pPr>
        <w:pStyle w:val="ListParagraph"/>
      </w:pPr>
      <w:r w:rsidRPr="006B4B65">
        <w:t xml:space="preserve">The meaning of an RRS or CRT is plain on its face. </w:t>
      </w:r>
    </w:p>
    <w:p w14:paraId="1517856C" w14:textId="7221A5D2"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r w:rsidR="004D5A0E">
        <w:t xml:space="preserve">RI, </w:t>
      </w:r>
      <w:r>
        <w:t xml:space="preserve">the WSC </w:t>
      </w:r>
      <w:r w:rsidRPr="00BE7089">
        <w:t xml:space="preserve">shall </w:t>
      </w:r>
      <w:r w:rsidR="00D57989">
        <w:t xml:space="preserve">convene </w:t>
      </w:r>
      <w:r w:rsidRPr="00BE7089">
        <w:t>an interpretation drafting team (IDT) to address the request.</w:t>
      </w:r>
      <w:r w:rsidR="00D57989">
        <w:t xml:space="preserve"> Where possible, </w:t>
      </w:r>
      <w:r w:rsidR="00945006">
        <w:t xml:space="preserve">members of the original </w:t>
      </w:r>
      <w:r w:rsidR="00E11650">
        <w:t>DT</w:t>
      </w:r>
      <w:r w:rsidR="00945006">
        <w:t xml:space="preserve"> should constitute the IDT.</w:t>
      </w:r>
    </w:p>
    <w:p w14:paraId="426645B1" w14:textId="0FE354D0"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0AE2ACFE"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3E64BBB7"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53A05852" w:rsidR="00765768" w:rsidRPr="00BE7089" w:rsidRDefault="00765768" w:rsidP="008A426D">
      <w:pPr>
        <w:pStyle w:val="ListBullet"/>
        <w:numPr>
          <w:ilvl w:val="0"/>
          <w:numId w:val="18"/>
        </w:numPr>
        <w:suppressAutoHyphens/>
        <w:spacing w:before="120" w:after="60"/>
        <w:contextualSpacing w:val="0"/>
      </w:pPr>
      <w:r w:rsidRPr="00BE7089">
        <w:t xml:space="preserve">The interpretation will remain appended to the </w:t>
      </w:r>
      <w:r w:rsidRPr="00BE7089">
        <w:rPr>
          <w:rFonts w:eastAsia="Arial" w:cs="Arial"/>
          <w:szCs w:val="24"/>
        </w:rPr>
        <w:t>interpreted document</w:t>
      </w:r>
      <w:r w:rsidRPr="00BE7089">
        <w:t xml:space="preserve"> until the </w:t>
      </w:r>
      <w:r w:rsidRPr="00BE7089">
        <w:rPr>
          <w:rFonts w:eastAsia="Arial" w:cs="Arial"/>
          <w:szCs w:val="24"/>
        </w:rPr>
        <w:t>document</w:t>
      </w:r>
      <w:r w:rsidRPr="00BE7089">
        <w:t xml:space="preserve"> is revised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96930C2"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61" w:name="Expedited_Process_for_Urgent_Action"/>
      <w:bookmarkEnd w:id="61"/>
      <w:r w:rsidRPr="00BE7089">
        <w:t>Expedited Process for Urgent Action</w:t>
      </w:r>
    </w:p>
    <w:p w14:paraId="35F9B2E2" w14:textId="77777777" w:rsidR="00765768" w:rsidRPr="00BE7089" w:rsidRDefault="00765768" w:rsidP="00765768">
      <w:r w:rsidRPr="00BE7089">
        <w:t>In cases requiring urgent action, such as in the development of emergency procedures, any person or entity may propose an interim RRS or CRT for approval by the WECC Board. The RRS or CRT may go through a process that eliminates any or all of the steps outlined previously, but only to the extent deemed necessary by the Board and only in a manner that is consistent with the WECC Bylaws.</w:t>
      </w:r>
    </w:p>
    <w:p w14:paraId="4750495D" w14:textId="63805CB0" w:rsidR="00765768" w:rsidRDefault="00765768" w:rsidP="00765768">
      <w:r w:rsidRPr="00BE7089">
        <w:t>If the Board approves the interim document, it shall establish an initial effective date for the interim document.</w:t>
      </w:r>
    </w:p>
    <w:p w14:paraId="6E1B56A4" w14:textId="4E70C073" w:rsidR="00765768" w:rsidRPr="00BE7089" w:rsidRDefault="00765768" w:rsidP="00765768">
      <w:r w:rsidRPr="00BE7089">
        <w:t>Within 90 days after the initial effective date of the document, the Board shall either:</w:t>
      </w:r>
    </w:p>
    <w:p w14:paraId="29D7B3F6" w14:textId="77777777" w:rsidR="00765768" w:rsidRPr="00FA125E" w:rsidRDefault="00765768" w:rsidP="00FA125E">
      <w:pPr>
        <w:pStyle w:val="ListParagraph"/>
        <w:numPr>
          <w:ilvl w:val="0"/>
          <w:numId w:val="42"/>
        </w:numPr>
      </w:pPr>
      <w:r w:rsidRPr="00FA125E">
        <w:lastRenderedPageBreak/>
        <w:t>Cause a SAR to be submitted requesting the development under these Procedures of a permanent replacement to the interim document; or</w:t>
      </w:r>
    </w:p>
    <w:p w14:paraId="531FAAE0" w14:textId="5693E6EC" w:rsidR="00765768" w:rsidRPr="00FA125E" w:rsidRDefault="00765768" w:rsidP="00FA125E">
      <w:pPr>
        <w:pStyle w:val="ListParagraph"/>
      </w:pPr>
      <w:r w:rsidRPr="00FA125E">
        <w:t>Shall extend the applicability of the interim document for an additional 90 days.</w:t>
      </w:r>
    </w:p>
    <w:p w14:paraId="00EB2A4C" w14:textId="1885514B" w:rsidR="00765768" w:rsidRPr="00BE7089" w:rsidRDefault="00765768" w:rsidP="00765768">
      <w:r w:rsidRPr="00BE7089">
        <w:t>The extension can be renewed more than once, but a good</w:t>
      </w:r>
      <w:r w:rsidR="006B4B65">
        <w:t>-</w:t>
      </w:r>
      <w:r w:rsidRPr="00BE7089">
        <w:t>faith effort must be made to develop a permanent replacement under these Procedures.</w:t>
      </w:r>
    </w:p>
    <w:p w14:paraId="58C24DB2" w14:textId="030EE233" w:rsidR="00765768" w:rsidRPr="00BE7089" w:rsidRDefault="00765768" w:rsidP="00765768">
      <w:r w:rsidRPr="00BE7089">
        <w:t>If a SAR is submitted, the interim RRS or CRT shall remain in effect until the permanent replacement RRS or CRT becomes effective.</w:t>
      </w:r>
    </w:p>
    <w:p w14:paraId="312B8653" w14:textId="2C65AD82"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62" w:name="Regulatory_Directives"/>
      <w:bookmarkEnd w:id="62"/>
      <w:r w:rsidRPr="00BE7089">
        <w:t>Regulatory Directives</w:t>
      </w:r>
    </w:p>
    <w:p w14:paraId="691C566C" w14:textId="4D8C7267" w:rsidR="00765768" w:rsidRPr="00BE7089" w:rsidRDefault="00765768" w:rsidP="00765768">
      <w:r w:rsidRPr="00BE7089">
        <w:t>These Procedures acknowledge that FERC may order WECC to make specified regulatory changes to documents created under these Procedures. For this section only, those documents are referred to as Directive Regional Reliability Standards (DRRS).</w:t>
      </w:r>
    </w:p>
    <w:p w14:paraId="7F2C4CEA" w14:textId="53BE1C15" w:rsidR="00765768" w:rsidRPr="00BE7089" w:rsidRDefault="00765768" w:rsidP="00765768">
      <w:r w:rsidRPr="00BE7089">
        <w:t xml:space="preserve">If the Board determines that these Procedures failed to result in a DRRS meeting the mandated regulatory changes, the Board shall </w:t>
      </w:r>
      <w:bookmarkStart w:id="63" w:name="Progress"/>
      <w:bookmarkEnd w:id="63"/>
      <w:r w:rsidRPr="00BE7089">
        <w:t>have authority to take the following actions to ensure that the DRRS is responsive to the regulatory directive.</w:t>
      </w:r>
    </w:p>
    <w:p w14:paraId="618FAB7C" w14:textId="4FD4FF76"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r w:rsidR="00E51753">
        <w:t>,</w:t>
      </w:r>
      <w:r w:rsidRPr="00BE7089">
        <w:t xml:space="preserve"> it shall be reprocessed under these Procedures.</w:t>
      </w:r>
    </w:p>
    <w:p w14:paraId="5FB2A543" w14:textId="39593945"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2EF6D905" w:rsidR="00765768" w:rsidRDefault="00765768" w:rsidP="008A426D">
      <w:pPr>
        <w:pStyle w:val="ListParagraph"/>
        <w:numPr>
          <w:ilvl w:val="0"/>
          <w:numId w:val="19"/>
        </w:numPr>
        <w:ind w:left="1080"/>
        <w:contextualSpacing w:val="0"/>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115975B1" w:rsidR="00610C75" w:rsidRDefault="00610C75" w:rsidP="00610C75">
      <w:pPr>
        <w:pStyle w:val="ListParagraph"/>
        <w:numPr>
          <w:ilvl w:val="0"/>
          <w:numId w:val="46"/>
        </w:numPr>
        <w:ind w:left="1440"/>
      </w:pPr>
      <w:r>
        <w:lastRenderedPageBreak/>
        <w:t>Require a public technical conference to be noticed and convened to determine whether the rejected DRRS is</w:t>
      </w:r>
      <w:r w:rsidR="00942244">
        <w:t>—</w:t>
      </w:r>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4EF05D32" w:rsidR="00765768" w:rsidRPr="00BE7089" w:rsidRDefault="00765768" w:rsidP="00FA125E">
      <w:pPr>
        <w:pStyle w:val="ListBullet"/>
        <w:ind w:left="1080"/>
      </w:pPr>
      <w:r w:rsidRPr="00BE7089">
        <w:t>Upon a finding that the rejected DRRS should be implemented, the Board shall approve the DRRS and direct that it be submitted for NERC and FERC approval, as required.</w:t>
      </w:r>
    </w:p>
    <w:p w14:paraId="70F5B758" w14:textId="4B55A5A3" w:rsidR="00765768" w:rsidRPr="00BE7089" w:rsidRDefault="00765768" w:rsidP="00FA125E">
      <w:pPr>
        <w:pStyle w:val="ListBullet"/>
        <w:ind w:left="1080"/>
      </w:pPr>
      <w:r w:rsidRPr="00BE7089">
        <w:t>Upon a finding that the rejected DRRS should not be implemented, the Board may submit the DRRS and its record of development as a regulatory compliance filing in response to the regulatory directive. The filing shall 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2FC038E1"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C52E155"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7F630215"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r w:rsidR="00177B6B">
        <w:t xml:space="preserve">until </w:t>
      </w:r>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64" w:name="Maintenance_of_RRS_and_OPs_Documents"/>
      <w:bookmarkStart w:id="65" w:name="_Hlk43813148"/>
      <w:bookmarkEnd w:id="64"/>
      <w:r w:rsidRPr="00BE7089">
        <w:t>Maintenance of RRS</w:t>
      </w:r>
      <w:r>
        <w:t>s</w:t>
      </w:r>
      <w:r w:rsidRPr="00BE7089">
        <w:t xml:space="preserve"> and CRT</w:t>
      </w:r>
      <w:r>
        <w:t>s</w:t>
      </w:r>
    </w:p>
    <w:bookmarkEnd w:id="65"/>
    <w:p w14:paraId="70FF19EC" w14:textId="1453E30E" w:rsidR="00765768" w:rsidRPr="00BE7089" w:rsidRDefault="00765768" w:rsidP="00F4356A">
      <w:r w:rsidRPr="00BE7089">
        <w:t xml:space="preserve">The WSC shall ensure that each RRS </w:t>
      </w:r>
      <w:r>
        <w:t xml:space="preserve">and each CRT </w:t>
      </w:r>
      <w:r w:rsidR="00F4356A">
        <w:t>undergoes a substantive review at least once every five years.</w:t>
      </w:r>
      <w:r w:rsidR="00CF0A8D">
        <w:t xml:space="preserve"> An errata change does not constitute substantive review for purposes of this section. </w:t>
      </w:r>
    </w:p>
    <w:p w14:paraId="059259C4" w14:textId="77777777" w:rsidR="00765768" w:rsidRPr="00BE7089" w:rsidRDefault="00765768" w:rsidP="00FA125E">
      <w:pPr>
        <w:pStyle w:val="Heading3"/>
      </w:pPr>
      <w:r w:rsidRPr="00BE7089">
        <w:lastRenderedPageBreak/>
        <w:t>Field Tests</w:t>
      </w:r>
    </w:p>
    <w:p w14:paraId="5A8A5E63" w14:textId="176B60FC" w:rsidR="00765768" w:rsidRDefault="00765768" w:rsidP="00F4356A">
      <w:r w:rsidRPr="00BE7089">
        <w:t>WECC will follow a process for field tests</w:t>
      </w:r>
      <w:r w:rsidR="003D0FF7">
        <w:t>,</w:t>
      </w:r>
      <w:r w:rsidRPr="00BE7089">
        <w:t xml:space="preserve"> or collection and analysis of data to validate concepts, that is similar to the process identified in the NERC Standards Processes Manual, as may be amended. </w:t>
      </w:r>
      <w:r>
        <w:t xml:space="preserve">Approval for a WECC field test </w:t>
      </w:r>
      <w:r w:rsidR="003D0FF7">
        <w:t xml:space="preserve">must </w:t>
      </w:r>
      <w:r>
        <w:t xml:space="preserve">be obtained from the WSC with consultation from WECC </w:t>
      </w:r>
      <w:r w:rsidR="00CB3E84">
        <w:t>SME</w:t>
      </w:r>
      <w:r>
        <w:t xml:space="preserve">s, as needed. Approval is neither required from NERC nor is there a requirement to consult NERC </w:t>
      </w:r>
      <w:r w:rsidR="00CB3E84">
        <w:t>SMEs</w:t>
      </w:r>
      <w:r>
        <w:t xml:space="preserve">. </w:t>
      </w:r>
    </w:p>
    <w:p w14:paraId="0953DFEC" w14:textId="741105A1" w:rsidR="00765768" w:rsidRDefault="00765768" w:rsidP="00765768">
      <w:r w:rsidRPr="007A4B67">
        <w:t>When a temporary waiver from compliance with an RRS is requested, WECC shall coordinate the test with the appropriate NERC and WECC compliance sections before the test begins.</w:t>
      </w:r>
      <w:r w:rsidR="00E22DD0">
        <w:t xml:space="preserve">  </w:t>
      </w:r>
      <w:r w:rsidR="00061FBC">
        <w:t xml:space="preserve"> </w:t>
      </w:r>
      <w:r w:rsidR="00E22DD0">
        <w:t>Waiver from adherence with a WECC CRT shall be addressed internally at WECC.</w:t>
      </w:r>
      <w:r w:rsidR="00061FBC">
        <w:t xml:space="preserve"> </w:t>
      </w:r>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lastRenderedPageBreak/>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FA125E" w:rsidRDefault="00623F06" w:rsidP="00AE475B">
            <w:pPr>
              <w:spacing w:after="0"/>
              <w:ind w:left="184"/>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FA125E" w:rsidRDefault="00623F06" w:rsidP="00AE475B">
            <w:pPr>
              <w:spacing w:after="0"/>
              <w:jc w:val="center"/>
              <w:rPr>
                <w:rFonts w:asciiTheme="majorHAnsi" w:eastAsia="Times New Roman" w:hAnsiTheme="majorHAnsi" w:cs="Tahoma"/>
                <w:b/>
                <w:color w:val="FFFFFF"/>
                <w:sz w:val="20"/>
                <w:szCs w:val="20"/>
              </w:rPr>
            </w:pPr>
            <w:r w:rsidRPr="00FA125E">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844403"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63308D10"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Aligned WSC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67B2CEA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Streamlined timelines</w:t>
            </w:r>
          </w:p>
          <w:p w14:paraId="75EB8D27" w14:textId="22F8E589"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Created DOS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8E2C1F9"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DT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844403"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4740CDCB"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Standing Committees replaced the WSC</w:t>
            </w:r>
          </w:p>
          <w:p w14:paraId="24264937" w14:textId="1C23B36C"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Voting rights for Participating Stakeholders and interested members of the registered ballot body clarified</w:t>
            </w:r>
            <w:r w:rsidR="00061FBC">
              <w:rPr>
                <w:rFonts w:eastAsia="Calibri" w:cs="Arial"/>
                <w:sz w:val="18"/>
                <w:szCs w:val="18"/>
              </w:rPr>
              <w:t xml:space="preserve"> </w:t>
            </w:r>
          </w:p>
          <w:p w14:paraId="6BD394BA" w14:textId="20A70570"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The use of “business days” replaced with the generic terms “days”</w:t>
            </w:r>
            <w:r w:rsidR="00061FBC">
              <w:rPr>
                <w:rFonts w:eastAsia="Calibri" w:cs="Arial"/>
                <w:sz w:val="18"/>
                <w:szCs w:val="18"/>
              </w:rPr>
              <w:t xml:space="preserve"> </w:t>
            </w:r>
          </w:p>
          <w:p w14:paraId="2EFD83EE" w14:textId="42884CF0"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Negative votes without explanation are not counted towards results but are counted for quorum</w:t>
            </w:r>
            <w:r w:rsidR="00061FBC">
              <w:rPr>
                <w:rFonts w:eastAsia="Calibri" w:cs="Arial"/>
                <w:sz w:val="18"/>
                <w:szCs w:val="18"/>
              </w:rPr>
              <w:t xml:space="preserve"> </w:t>
            </w:r>
          </w:p>
          <w:p w14:paraId="4EBB0BB7" w14:textId="01FC7652"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Violation Severity Levels added as a mandatory element of the development process</w:t>
            </w:r>
            <w:r w:rsidR="00061FBC">
              <w:rPr>
                <w:rFonts w:eastAsia="Calibri" w:cs="Arial"/>
                <w:sz w:val="18"/>
                <w:szCs w:val="18"/>
              </w:rPr>
              <w:t xml:space="preserve"> </w:t>
            </w:r>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5F04C4E2"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Time windows changed for ballot window, SAR actions, and DT response times</w:t>
            </w:r>
            <w:r w:rsidR="00061FBC">
              <w:rPr>
                <w:rFonts w:eastAsia="Calibri" w:cs="Arial"/>
                <w:sz w:val="18"/>
                <w:szCs w:val="18"/>
              </w:rPr>
              <w:t xml:space="preserve"> </w:t>
            </w:r>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Purview expanded/clarified for Director of 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844403"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5A4450BA"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Requirement was added that all new SAR</w:t>
            </w:r>
            <w:r w:rsidR="005C0B7B">
              <w:rPr>
                <w:rFonts w:eastAsia="Calibri" w:cs="Arial"/>
                <w:sz w:val="18"/>
                <w:szCs w:val="18"/>
              </w:rPr>
              <w:t>s</w:t>
            </w:r>
            <w:r w:rsidRPr="00623F06">
              <w:rPr>
                <w:rFonts w:eastAsia="Calibri" w:cs="Arial"/>
                <w:sz w:val="18"/>
                <w:szCs w:val="18"/>
              </w:rPr>
              <w:t xml:space="preserve"> be vetted during a WSC meeting.</w:t>
            </w:r>
            <w:r w:rsidR="00061FBC">
              <w:rPr>
                <w:rFonts w:eastAsia="Calibri" w:cs="Arial"/>
                <w:sz w:val="18"/>
                <w:szCs w:val="18"/>
              </w:rPr>
              <w:t xml:space="preserve"> </w:t>
            </w:r>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03023378"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067D23DE"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The Director of Standard’s discretion has been broadened regarding late entrance into a Ballot Pool.</w:t>
            </w:r>
            <w:r w:rsidR="00061FBC">
              <w:rPr>
                <w:rFonts w:eastAsia="Calibri" w:cs="Arial"/>
                <w:sz w:val="18"/>
                <w:szCs w:val="18"/>
              </w:rPr>
              <w:t xml:space="preserve"> </w:t>
            </w:r>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09D5A1A5"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new section for Field Tests was added.</w:t>
            </w:r>
            <w:r w:rsidR="00061FBC">
              <w:rPr>
                <w:rFonts w:eastAsia="Calibri" w:cs="Arial"/>
                <w:sz w:val="18"/>
                <w:szCs w:val="18"/>
              </w:rPr>
              <w:t xml:space="preserve"> </w:t>
            </w:r>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FA125E" w:rsidRDefault="00CF252F" w:rsidP="00AE475B">
            <w:pPr>
              <w:widowControl w:val="0"/>
              <w:autoSpaceDE w:val="0"/>
              <w:autoSpaceDN w:val="0"/>
              <w:adjustRightInd w:val="0"/>
              <w:spacing w:after="0"/>
              <w:jc w:val="center"/>
              <w:rPr>
                <w:rStyle w:val="Hyperlink"/>
                <w:rFonts w:eastAsia="Calibri" w:cs="Arial"/>
                <w:sz w:val="20"/>
                <w:szCs w:val="20"/>
              </w:rPr>
            </w:pPr>
            <w:r w:rsidRPr="00FA125E">
              <w:rPr>
                <w:rStyle w:val="Hyperlink"/>
                <w:rFonts w:eastAsia="Calibri" w:cs="Arial"/>
                <w:sz w:val="20"/>
                <w:szCs w:val="20"/>
              </w:rPr>
              <w:t>3.1</w:t>
            </w:r>
          </w:p>
        </w:tc>
        <w:tc>
          <w:tcPr>
            <w:tcW w:w="1710" w:type="dxa"/>
          </w:tcPr>
          <w:p w14:paraId="754F6944" w14:textId="77777777" w:rsidR="00CF252F" w:rsidRPr="00FA125E" w:rsidRDefault="00CF252F" w:rsidP="00AE475B">
            <w:pPr>
              <w:widowControl w:val="0"/>
              <w:autoSpaceDE w:val="0"/>
              <w:autoSpaceDN w:val="0"/>
              <w:adjustRightInd w:val="0"/>
              <w:spacing w:after="0"/>
              <w:ind w:left="184"/>
              <w:rPr>
                <w:rFonts w:eastAsia="Calibri" w:cs="Arial"/>
                <w:sz w:val="20"/>
                <w:szCs w:val="20"/>
              </w:rPr>
            </w:pPr>
            <w:r w:rsidRPr="00FA125E">
              <w:rPr>
                <w:rFonts w:eastAsia="Calibri" w:cs="Arial"/>
                <w:sz w:val="20"/>
                <w:szCs w:val="20"/>
              </w:rPr>
              <w:t>NA</w:t>
            </w:r>
          </w:p>
        </w:tc>
        <w:tc>
          <w:tcPr>
            <w:tcW w:w="2879" w:type="dxa"/>
          </w:tcPr>
          <w:p w14:paraId="0286455A" w14:textId="77777777" w:rsidR="00CF252F" w:rsidRPr="00FA125E" w:rsidRDefault="00CF252F" w:rsidP="00AE475B">
            <w:pPr>
              <w:widowControl w:val="0"/>
              <w:autoSpaceDE w:val="0"/>
              <w:autoSpaceDN w:val="0"/>
              <w:adjustRightInd w:val="0"/>
              <w:spacing w:after="0"/>
              <w:ind w:left="100"/>
              <w:rPr>
                <w:rFonts w:eastAsia="Calibri" w:cs="Arial"/>
                <w:sz w:val="20"/>
                <w:szCs w:val="20"/>
              </w:rPr>
            </w:pPr>
            <w:r w:rsidRPr="00FA125E">
              <w:rPr>
                <w:rFonts w:eastAsia="Calibri" w:cs="Arial"/>
                <w:sz w:val="20"/>
                <w:szCs w:val="20"/>
              </w:rPr>
              <w:t>NA</w:t>
            </w:r>
          </w:p>
        </w:tc>
        <w:tc>
          <w:tcPr>
            <w:tcW w:w="4496" w:type="dxa"/>
          </w:tcPr>
          <w:p w14:paraId="01023CDB" w14:textId="77777777" w:rsidR="00CF252F" w:rsidRPr="00FA125E"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FA125E">
              <w:rPr>
                <w:rFonts w:eastAsia="Calibri" w:cs="Arial"/>
                <w:sz w:val="20"/>
                <w:szCs w:val="20"/>
              </w:rPr>
              <w:t>New template</w:t>
            </w:r>
          </w:p>
          <w:p w14:paraId="628C94FE" w14:textId="51AEC5CB" w:rsidR="007347CD" w:rsidRPr="00FA125E" w:rsidRDefault="007347CD" w:rsidP="007347CD">
            <w:pPr>
              <w:keepNext/>
              <w:keepLines/>
              <w:pBdr>
                <w:bottom w:val="single" w:sz="12" w:space="1" w:color="414042"/>
              </w:pBdr>
              <w:suppressAutoHyphens/>
              <w:spacing w:before="240"/>
              <w:outlineLvl w:val="0"/>
              <w:rPr>
                <w:rFonts w:ascii="Lucida Sans" w:eastAsiaTheme="majorEastAsia" w:hAnsi="Lucida Sans" w:cstheme="majorBidi"/>
                <w:b/>
                <w:bCs/>
                <w:color w:val="000000" w:themeColor="text1"/>
                <w:sz w:val="20"/>
                <w:szCs w:val="20"/>
              </w:rPr>
            </w:pPr>
            <w:r w:rsidRPr="00FA125E">
              <w:rPr>
                <w:rFonts w:ascii="Lucida Sans" w:eastAsiaTheme="majorEastAsia" w:hAnsi="Lucida Sans" w:cstheme="majorBidi"/>
                <w:b/>
                <w:bCs/>
                <w:color w:val="000000" w:themeColor="text1"/>
                <w:sz w:val="20"/>
                <w:szCs w:val="20"/>
              </w:rPr>
              <w:t>Posting 1</w:t>
            </w:r>
            <w:r w:rsidR="000A0577">
              <w:rPr>
                <w:rFonts w:ascii="Lucida Sans" w:eastAsiaTheme="majorEastAsia" w:hAnsi="Lucida Sans" w:cstheme="majorBidi"/>
                <w:b/>
                <w:bCs/>
                <w:color w:val="000000" w:themeColor="text1"/>
                <w:sz w:val="20"/>
                <w:szCs w:val="20"/>
              </w:rPr>
              <w:t>—</w:t>
            </w:r>
            <w:r w:rsidRPr="00FA125E">
              <w:rPr>
                <w:rFonts w:ascii="Lucida Sans" w:eastAsiaTheme="majorEastAsia" w:hAnsi="Lucida Sans" w:cstheme="majorBidi"/>
                <w:b/>
                <w:bCs/>
                <w:color w:val="000000" w:themeColor="text1"/>
                <w:sz w:val="20"/>
                <w:szCs w:val="20"/>
              </w:rPr>
              <w:t>Proposed Changes</w:t>
            </w:r>
          </w:p>
          <w:p w14:paraId="463CAFE9" w14:textId="77777777" w:rsidR="007347CD" w:rsidRPr="00FA125E" w:rsidRDefault="007347CD" w:rsidP="007347CD">
            <w:pPr>
              <w:rPr>
                <w:rFonts w:ascii="Palatino Linotype" w:hAnsi="Palatino Linotype"/>
                <w:sz w:val="20"/>
                <w:szCs w:val="20"/>
              </w:rPr>
            </w:pPr>
            <w:r w:rsidRPr="00FA125E">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p>
          <w:p w14:paraId="21355D1B"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Introduction</w:t>
            </w:r>
          </w:p>
          <w:p w14:paraId="17419806"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lastRenderedPageBreak/>
              <w:t>Footnote 1 is added to adopt a definition for Regional Entity.</w:t>
            </w:r>
          </w:p>
          <w:p w14:paraId="4A71CF0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Definitions</w:t>
            </w:r>
          </w:p>
          <w:p w14:paraId="0B20503C" w14:textId="77777777"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 xml:space="preserve">A definition for Affirmative Fraction Majority is proposed. </w:t>
            </w:r>
          </w:p>
          <w:p w14:paraId="71B2B79B" w14:textId="63A6DE91" w:rsidR="007347CD" w:rsidRPr="00FA125E" w:rsidRDefault="007347CD" w:rsidP="007347CD">
            <w:pPr>
              <w:numPr>
                <w:ilvl w:val="1"/>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The definition for Regional Reliability Standard is modified to include Regional Variances.</w:t>
            </w:r>
            <w:r w:rsidR="00061FBC">
              <w:rPr>
                <w:rFonts w:ascii="Palatino Linotype" w:hAnsi="Palatino Linotype"/>
                <w:sz w:val="20"/>
                <w:szCs w:val="20"/>
              </w:rPr>
              <w:t xml:space="preserve"> </w:t>
            </w:r>
          </w:p>
          <w:p w14:paraId="703A9CC8" w14:textId="77777777" w:rsidR="007347CD" w:rsidRPr="00FA125E" w:rsidRDefault="007347CD" w:rsidP="007347CD">
            <w:pPr>
              <w:numPr>
                <w:ilvl w:val="0"/>
                <w:numId w:val="34"/>
              </w:numPr>
              <w:suppressAutoHyphens/>
              <w:spacing w:before="120"/>
              <w:contextualSpacing/>
              <w:rPr>
                <w:rFonts w:ascii="Palatino Linotype" w:hAnsi="Palatino Linotype"/>
                <w:sz w:val="20"/>
                <w:szCs w:val="20"/>
              </w:rPr>
            </w:pPr>
            <w:r w:rsidRPr="00FA125E">
              <w:rPr>
                <w:rFonts w:ascii="Palatino Linotype" w:hAnsi="Palatino Linotype"/>
                <w:sz w:val="20"/>
                <w:szCs w:val="20"/>
              </w:rPr>
              <w:t>WECC Standards Committee</w:t>
            </w:r>
          </w:p>
          <w:p w14:paraId="139D9F0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Verbiage was updated to match the WSC Charter.</w:t>
            </w:r>
          </w:p>
          <w:p w14:paraId="20EA27C2"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2 Complete SAR and Present to the WSC</w:t>
            </w:r>
          </w:p>
          <w:p w14:paraId="5204060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SAR” was added for clarity, paragraph 2.</w:t>
            </w:r>
          </w:p>
          <w:p w14:paraId="7F674DF8"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p>
          <w:p w14:paraId="39271BBB"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3 Convene a Drafting Team</w:t>
            </w:r>
          </w:p>
          <w:p w14:paraId="2C5F997F"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Substance of WSC guideline was adopted. </w:t>
            </w:r>
          </w:p>
          <w:p w14:paraId="6A905854"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4 Begin Drafting Phase and Submit Draft to WSC</w:t>
            </w:r>
          </w:p>
          <w:p w14:paraId="3E997B63"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Syntax was changed for clarity.</w:t>
            </w:r>
          </w:p>
          <w:p w14:paraId="211F5BE2" w14:textId="13B554FF"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 change was added allowing flexibility in WECC CRT structure.</w:t>
            </w:r>
            <w:r w:rsidR="00061FBC">
              <w:rPr>
                <w:rFonts w:ascii="Palatino Linotype" w:hAnsi="Palatino Linotype"/>
                <w:sz w:val="20"/>
                <w:szCs w:val="20"/>
              </w:rPr>
              <w:t xml:space="preserve"> </w:t>
            </w:r>
            <w:r w:rsidRPr="00FA125E">
              <w:rPr>
                <w:rFonts w:ascii="Palatino Linotype" w:hAnsi="Palatino Linotype"/>
                <w:sz w:val="20"/>
                <w:szCs w:val="20"/>
              </w:rPr>
              <w:t>This is done to differentiate the structure from that of a standard, particularly as NERC moves to extract guidance narrative from the body of its standards.</w:t>
            </w:r>
          </w:p>
          <w:p w14:paraId="4B14BB8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5 Post for Comment</w:t>
            </w:r>
          </w:p>
          <w:p w14:paraId="756BF0E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was changed for clarity. </w:t>
            </w:r>
          </w:p>
          <w:p w14:paraId="4904CDB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6 Respond to Comments</w:t>
            </w:r>
          </w:p>
          <w:p w14:paraId="5854C78F" w14:textId="0B55F946"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At “Treatment of Substantive Changes</w:t>
            </w:r>
            <w:r w:rsidR="00682D14">
              <w:rPr>
                <w:rFonts w:ascii="Palatino Linotype" w:hAnsi="Palatino Linotype"/>
                <w:sz w:val="20"/>
                <w:szCs w:val="20"/>
              </w:rPr>
              <w:t>,</w:t>
            </w:r>
            <w:r w:rsidRPr="00FA125E">
              <w:rPr>
                <w:rFonts w:ascii="Palatino Linotype" w:hAnsi="Palatino Linotype"/>
                <w:sz w:val="20"/>
                <w:szCs w:val="20"/>
              </w:rPr>
              <w:t>” syntax was changed for clarity.</w:t>
            </w:r>
          </w:p>
          <w:p w14:paraId="4778B03C"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“Vote” was changed to “poll.”</w:t>
            </w:r>
          </w:p>
          <w:p w14:paraId="7C0DCE3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lastRenderedPageBreak/>
              <w:t xml:space="preserve"> At “Treatment of Non-substantive Changes” staff is empowered to make non-substantive changes without convening a WSC meeting.</w:t>
            </w:r>
          </w:p>
          <w:p w14:paraId="38AD7E82" w14:textId="2E8A71EF"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At “WECC Regional </w:t>
            </w:r>
            <w:r w:rsidR="00A612B0" w:rsidRPr="00FA125E">
              <w:rPr>
                <w:rFonts w:ascii="Palatino Linotype" w:hAnsi="Palatino Linotype"/>
                <w:sz w:val="20"/>
                <w:szCs w:val="20"/>
              </w:rPr>
              <w:t>Criteria</w:t>
            </w:r>
            <w:r w:rsidR="00A31566">
              <w:rPr>
                <w:rFonts w:ascii="Palatino Linotype" w:hAnsi="Palatino Linotype"/>
                <w:sz w:val="20"/>
                <w:szCs w:val="20"/>
              </w:rPr>
              <w:t>,</w:t>
            </w:r>
            <w:r w:rsidR="00A612B0" w:rsidRPr="00FA125E">
              <w:rPr>
                <w:rFonts w:ascii="Palatino Linotype" w:hAnsi="Palatino Linotype"/>
                <w:sz w:val="20"/>
                <w:szCs w:val="20"/>
              </w:rPr>
              <w:t>” staff</w:t>
            </w:r>
            <w:r w:rsidRPr="00FA125E">
              <w:rPr>
                <w:rFonts w:ascii="Palatino Linotype" w:hAnsi="Palatino Linotype"/>
                <w:sz w:val="20"/>
                <w:szCs w:val="20"/>
              </w:rPr>
              <w:t xml:space="preserve"> is empowered to make non-substantive changes without convening a WSC meeting. </w:t>
            </w:r>
          </w:p>
          <w:p w14:paraId="72DB096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7 Submit Proposed Draft to the WSC with a Request for Ballot</w:t>
            </w:r>
          </w:p>
          <w:p w14:paraId="5803CB5E"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No change,</w:t>
            </w:r>
          </w:p>
          <w:p w14:paraId="249DBC2D"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8 Convene a Standards Briefing</w:t>
            </w:r>
          </w:p>
          <w:p w14:paraId="5248DAD2" w14:textId="2B030482"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notice period was shortened to 7 days.</w:t>
            </w:r>
            <w:r w:rsidR="00061FBC">
              <w:rPr>
                <w:rFonts w:ascii="Palatino Linotype" w:hAnsi="Palatino Linotype"/>
                <w:sz w:val="20"/>
                <w:szCs w:val="20"/>
              </w:rPr>
              <w:t xml:space="preserve"> </w:t>
            </w:r>
            <w:r w:rsidRPr="00FA125E">
              <w:rPr>
                <w:rFonts w:ascii="Palatino Linotype" w:hAnsi="Palatino Linotype"/>
                <w:sz w:val="20"/>
                <w:szCs w:val="20"/>
              </w:rPr>
              <w:t>Historically, Standards Briefings are low profile with no controversy.</w:t>
            </w:r>
            <w:r w:rsidR="00061FBC">
              <w:rPr>
                <w:rFonts w:ascii="Palatino Linotype" w:hAnsi="Palatino Linotype"/>
                <w:sz w:val="20"/>
                <w:szCs w:val="20"/>
              </w:rPr>
              <w:t xml:space="preserve"> </w:t>
            </w:r>
            <w:r w:rsidRPr="00FA125E">
              <w:rPr>
                <w:rFonts w:ascii="Palatino Linotype" w:hAnsi="Palatino Linotype"/>
                <w:sz w:val="20"/>
                <w:szCs w:val="20"/>
              </w:rPr>
              <w:t>Expedites administration.</w:t>
            </w:r>
            <w:r w:rsidR="00061FBC">
              <w:rPr>
                <w:rFonts w:ascii="Palatino Linotype" w:hAnsi="Palatino Linotype"/>
                <w:sz w:val="20"/>
                <w:szCs w:val="20"/>
              </w:rPr>
              <w:t xml:space="preserve"> </w:t>
            </w:r>
          </w:p>
          <w:p w14:paraId="4FFF8746"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9 Form the Ballot Pool and Ballot the Standard</w:t>
            </w:r>
          </w:p>
          <w:p w14:paraId="18F5723B" w14:textId="0702A0F5"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Additional decision-making authority is provided to DOS and the WSC. The WSC is proficient to read a description and make the call without convening a Board meeting.</w:t>
            </w:r>
          </w:p>
          <w:p w14:paraId="1B2C0732"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Clarification is added.</w:t>
            </w:r>
          </w:p>
          <w:p w14:paraId="031CC0C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notice period is shortened to 45 days as opposed to 60 to expedite administration. </w:t>
            </w:r>
          </w:p>
          <w:p w14:paraId="011BCA2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The phrase “good cause” is deleted because it is ambiguous. </w:t>
            </w:r>
          </w:p>
          <w:p w14:paraId="22267DA1"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A new section “Treatment of Abstentions and Explanatory Narrative during Ballot” was added to incorporate the WSC guideline.</w:t>
            </w:r>
          </w:p>
          <w:p w14:paraId="39AE5CF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A large portion of this section was redrafted for clarity. </w:t>
            </w:r>
          </w:p>
          <w:p w14:paraId="7130D0AC"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10 Initiate the Appeals Process – If Needed</w:t>
            </w:r>
          </w:p>
          <w:p w14:paraId="78C23856"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WSC is permitted to approve a project immediately before </w:t>
            </w:r>
            <w:r w:rsidRPr="00FA125E">
              <w:rPr>
                <w:rFonts w:ascii="Palatino Linotype" w:hAnsi="Palatino Linotype"/>
                <w:sz w:val="20"/>
                <w:szCs w:val="20"/>
              </w:rPr>
              <w:lastRenderedPageBreak/>
              <w:t xml:space="preserve">providing it to the Board for approval. </w:t>
            </w:r>
          </w:p>
          <w:p w14:paraId="4DF84423"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11 Obtain Board Approval</w:t>
            </w:r>
          </w:p>
          <w:p w14:paraId="485AC729" w14:textId="0AE59BDE"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Remand is directed to the WSC as opposed to the drafting team.</w:t>
            </w:r>
            <w:r w:rsidR="00061FBC">
              <w:rPr>
                <w:rFonts w:ascii="Palatino Linotype" w:hAnsi="Palatino Linotype"/>
                <w:sz w:val="20"/>
                <w:szCs w:val="20"/>
              </w:rPr>
              <w:t xml:space="preserve"> </w:t>
            </w:r>
            <w:r w:rsidRPr="00FA125E">
              <w:rPr>
                <w:rFonts w:ascii="Palatino Linotype" w:hAnsi="Palatino Linotype"/>
                <w:sz w:val="20"/>
                <w:szCs w:val="20"/>
              </w:rPr>
              <w:t xml:space="preserve">The WSC can the decide the next steps. </w:t>
            </w:r>
          </w:p>
          <w:p w14:paraId="5D973E91"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12 Submit for NERC and FERC Approval and Implementation</w:t>
            </w:r>
          </w:p>
          <w:p w14:paraId="0E48363E" w14:textId="2599445B"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This section can be deleted as superfluous to the WECC Delegation Agreement. It can be replaced by a simply sentence to that affect.</w:t>
            </w:r>
            <w:r w:rsidR="00061FBC">
              <w:rPr>
                <w:rFonts w:ascii="Palatino Linotype" w:hAnsi="Palatino Linotype"/>
                <w:sz w:val="20"/>
                <w:szCs w:val="20"/>
              </w:rPr>
              <w:t xml:space="preserve"> </w:t>
            </w:r>
            <w:r w:rsidRPr="00FA125E">
              <w:rPr>
                <w:rFonts w:ascii="Palatino Linotype" w:hAnsi="Palatino Linotype"/>
                <w:sz w:val="20"/>
                <w:szCs w:val="20"/>
              </w:rPr>
              <w:t xml:space="preserve">If adopted, “Steps” will have to be renumbered. </w:t>
            </w:r>
          </w:p>
          <w:p w14:paraId="03559BC7"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13 Retire a CRT</w:t>
            </w:r>
          </w:p>
          <w:p w14:paraId="0645DE10"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Since the WSC is a procedural oversight body and not SMEs on reliability, review by a DT is preferred. </w:t>
            </w:r>
          </w:p>
          <w:p w14:paraId="4164CB34" w14:textId="03E00D16"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The 14-day notice requirement can be eliminated if the above language is adopted.</w:t>
            </w:r>
            <w:r w:rsidR="00061FBC">
              <w:rPr>
                <w:rFonts w:ascii="Palatino Linotype" w:hAnsi="Palatino Linotype"/>
                <w:sz w:val="20"/>
                <w:szCs w:val="20"/>
              </w:rPr>
              <w:t xml:space="preserve"> </w:t>
            </w:r>
            <w:r w:rsidRPr="00FA125E">
              <w:rPr>
                <w:rFonts w:ascii="Palatino Linotype" w:hAnsi="Palatino Linotype"/>
                <w:sz w:val="20"/>
                <w:szCs w:val="20"/>
              </w:rPr>
              <w:t>Notice will be provided via the DT announcements.</w:t>
            </w:r>
          </w:p>
          <w:p w14:paraId="52D456FE"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Step 14 Submit a Request for Interpretation</w:t>
            </w:r>
          </w:p>
          <w:p w14:paraId="371A2497"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Capitalization of Request for Interpretation</w:t>
            </w:r>
          </w:p>
          <w:p w14:paraId="00FA984A"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Syntax changes were made for clarity. </w:t>
            </w:r>
          </w:p>
          <w:p w14:paraId="28B103C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Supporting Processes</w:t>
            </w:r>
          </w:p>
          <w:p w14:paraId="29EAF2A4"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 xml:space="preserve">No change. </w:t>
            </w:r>
          </w:p>
          <w:p w14:paraId="356B3A89" w14:textId="77777777" w:rsidR="007347CD" w:rsidRPr="00FA125E" w:rsidRDefault="007347CD" w:rsidP="007347CD">
            <w:pPr>
              <w:numPr>
                <w:ilvl w:val="0"/>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Maintenance of RRSs and CRTs</w:t>
            </w:r>
          </w:p>
          <w:p w14:paraId="6DB15765" w14:textId="77777777" w:rsidR="007347CD" w:rsidRPr="00FA125E" w:rsidRDefault="007347CD" w:rsidP="007347CD">
            <w:pPr>
              <w:numPr>
                <w:ilvl w:val="1"/>
                <w:numId w:val="33"/>
              </w:numPr>
              <w:spacing w:after="160" w:line="259" w:lineRule="auto"/>
              <w:contextualSpacing/>
              <w:rPr>
                <w:rFonts w:ascii="Palatino Linotype" w:hAnsi="Palatino Linotype"/>
                <w:sz w:val="20"/>
                <w:szCs w:val="20"/>
              </w:rPr>
            </w:pPr>
            <w:r w:rsidRPr="00FA125E">
              <w:rPr>
                <w:rFonts w:ascii="Palatino Linotype" w:hAnsi="Palatino Linotype"/>
                <w:sz w:val="20"/>
                <w:szCs w:val="20"/>
              </w:rPr>
              <w:t>Language was added for clarification.</w:t>
            </w:r>
          </w:p>
          <w:p w14:paraId="741F33AE" w14:textId="38E6D084" w:rsidR="007347CD" w:rsidRPr="00FA125E" w:rsidRDefault="007347CD" w:rsidP="00FA125E">
            <w:pPr>
              <w:numPr>
                <w:ilvl w:val="1"/>
                <w:numId w:val="33"/>
              </w:numPr>
              <w:spacing w:after="160" w:line="259" w:lineRule="auto"/>
              <w:contextualSpacing/>
              <w:rPr>
                <w:rFonts w:eastAsia="Calibri" w:cs="Arial"/>
                <w:sz w:val="20"/>
                <w:szCs w:val="20"/>
              </w:rPr>
            </w:pPr>
            <w:r w:rsidRPr="00FA125E">
              <w:rPr>
                <w:rFonts w:ascii="Palatino Linotype" w:hAnsi="Palatino Linotype"/>
                <w:sz w:val="20"/>
                <w:szCs w:val="20"/>
              </w:rPr>
              <w:t>The “how to” clause was removed.</w:t>
            </w: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0D0" w14:textId="77777777" w:rsidR="00724800" w:rsidRDefault="00724800" w:rsidP="00F82512">
      <w:pPr>
        <w:spacing w:line="240" w:lineRule="auto"/>
      </w:pPr>
      <w:r>
        <w:separator/>
      </w:r>
    </w:p>
    <w:p w14:paraId="54226FFA" w14:textId="77777777" w:rsidR="00724800" w:rsidRDefault="00724800"/>
  </w:endnote>
  <w:endnote w:type="continuationSeparator" w:id="0">
    <w:p w14:paraId="41E189B4" w14:textId="77777777" w:rsidR="00724800" w:rsidRDefault="00724800" w:rsidP="00F82512">
      <w:pPr>
        <w:spacing w:line="240" w:lineRule="auto"/>
      </w:pPr>
      <w:r>
        <w:continuationSeparator/>
      </w:r>
    </w:p>
    <w:p w14:paraId="046C8E0B" w14:textId="77777777" w:rsidR="00724800" w:rsidRDefault="00724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724800" w:rsidRPr="009D141F" w:rsidRDefault="00724800"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542" w14:textId="77777777" w:rsidR="00724800" w:rsidRDefault="00724800" w:rsidP="00F82512">
      <w:pPr>
        <w:spacing w:line="240" w:lineRule="auto"/>
      </w:pPr>
      <w:r>
        <w:separator/>
      </w:r>
    </w:p>
  </w:footnote>
  <w:footnote w:type="continuationSeparator" w:id="0">
    <w:p w14:paraId="65F673F1" w14:textId="77777777" w:rsidR="00724800" w:rsidRDefault="00724800" w:rsidP="00F82512">
      <w:pPr>
        <w:spacing w:line="240" w:lineRule="auto"/>
      </w:pPr>
      <w:r>
        <w:continuationSeparator/>
      </w:r>
    </w:p>
    <w:p w14:paraId="3ACAD4B8" w14:textId="77777777" w:rsidR="00724800" w:rsidRDefault="00724800"/>
  </w:footnote>
  <w:footnote w:id="1">
    <w:p w14:paraId="51F11E82" w14:textId="09DA34A5" w:rsidR="00724800" w:rsidRDefault="00724800">
      <w:pPr>
        <w:pStyle w:val="FootnoteText"/>
      </w:pPr>
      <w:r>
        <w:rPr>
          <w:rStyle w:val="FootnoteReference"/>
        </w:rPr>
        <w:footnoteRef/>
      </w:r>
      <w:r>
        <w:t xml:space="preserve"> </w:t>
      </w:r>
      <w:r w:rsidRPr="00E822C6">
        <w:t>“Regional Entity” means an entity having enforcement authority pursuant to 18 C.F.R. § 39.8.” NERC ROP, Appendix 2 to the NERC Rules of Procedure</w:t>
      </w:r>
      <w:r>
        <w:t>,</w:t>
      </w:r>
      <w:r w:rsidRPr="00E822C6">
        <w:t xml:space="preserve"> page 18</w:t>
      </w:r>
      <w:r>
        <w:t>.</w:t>
      </w:r>
      <w:r w:rsidRPr="00E822C6">
        <w:t xml:space="preserve"> Effective: June 8, 2018.</w:t>
      </w:r>
    </w:p>
  </w:footnote>
  <w:footnote w:id="2">
    <w:p w14:paraId="13A3AC0E" w14:textId="77777777" w:rsidR="00724800" w:rsidRPr="009C3A13" w:rsidRDefault="00724800"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3">
    <w:p w14:paraId="5DB65FA7" w14:textId="5EC5C2BA" w:rsidR="00724800" w:rsidRDefault="00724800">
      <w:pPr>
        <w:pStyle w:val="FootnoteText"/>
      </w:pPr>
      <w:r>
        <w:rPr>
          <w:rStyle w:val="FootnoteReference"/>
        </w:rPr>
        <w:footnoteRef/>
      </w:r>
      <w:r>
        <w:t xml:space="preserve"> See Step 9. </w:t>
      </w:r>
    </w:p>
  </w:footnote>
  <w:footnote w:id="4">
    <w:p w14:paraId="090C4DE3" w14:textId="09E8B2E9" w:rsidR="00724800" w:rsidRDefault="00724800" w:rsidP="00765768">
      <w:pPr>
        <w:pStyle w:val="FootnoteText"/>
      </w:pPr>
      <w:r>
        <w:rPr>
          <w:rStyle w:val="FootnoteReference"/>
        </w:rPr>
        <w:footnoteRef/>
      </w:r>
      <w:r>
        <w:t xml:space="preserve"> NERC currently establishes its SVS in the NERC Rules of Procedure, Appendix 3D—Development of the Registered Ballot Body. If the SVSs in that appendix or its successor should vary from time to time, it is the intent of these Procedures that WECC’s SVSs will mirror those of NERC without requiring further change to the Procedures to accommodate those changes. </w:t>
      </w:r>
    </w:p>
  </w:footnote>
  <w:footnote w:id="5">
    <w:p w14:paraId="3814A4CE" w14:textId="77777777" w:rsidR="00724800" w:rsidRDefault="00724800"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6">
    <w:p w14:paraId="0B03342D" w14:textId="4562B70B" w:rsidR="00724800" w:rsidRDefault="00724800" w:rsidP="00765768">
      <w:pPr>
        <w:pStyle w:val="FootnoteText"/>
      </w:pPr>
      <w:r>
        <w:rPr>
          <w:rStyle w:val="FootnoteReference"/>
        </w:rPr>
        <w:footnoteRef/>
      </w:r>
      <w:r>
        <w:t xml:space="preserve"> Providing the DOS with discretion to override allows for reasonable accommodations in the event of unforeseen circumstances.  </w:t>
      </w:r>
    </w:p>
  </w:footnote>
  <w:footnote w:id="7">
    <w:p w14:paraId="10785169" w14:textId="771507B8" w:rsidR="00724800" w:rsidRDefault="00724800" w:rsidP="00811120">
      <w:pPr>
        <w:pStyle w:val="FootnoteText"/>
      </w:pPr>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p>
  </w:footnote>
  <w:footnote w:id="8">
    <w:p w14:paraId="72D7E95B" w14:textId="77777777" w:rsidR="00724800" w:rsidRDefault="00724800" w:rsidP="00811120">
      <w:pPr>
        <w:pStyle w:val="FootnoteText"/>
      </w:pPr>
      <w:r>
        <w:rPr>
          <w:rStyle w:val="FootnoteReference"/>
        </w:rPr>
        <w:footnoteRef/>
      </w:r>
      <w:r>
        <w:t xml:space="preserve"> SVSs with less than 10 votes (affirmative or negative) are discounted such that each vote counts 0.1 of the segment weight.</w:t>
      </w:r>
    </w:p>
  </w:footnote>
  <w:footnote w:id="9">
    <w:p w14:paraId="60203B72" w14:textId="7CD61F2B" w:rsidR="00724800" w:rsidRDefault="00724800" w:rsidP="00811120">
      <w:pPr>
        <w:pStyle w:val="FootnoteText"/>
      </w:pPr>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724800" w:rsidRDefault="00724800"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qQUANwwVri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1FBC"/>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2263"/>
    <w:rsid w:val="000F2398"/>
    <w:rsid w:val="000F2A2A"/>
    <w:rsid w:val="000F40FD"/>
    <w:rsid w:val="000F510D"/>
    <w:rsid w:val="0010253A"/>
    <w:rsid w:val="00104C7D"/>
    <w:rsid w:val="001071B7"/>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304628"/>
    <w:rsid w:val="00304EA3"/>
    <w:rsid w:val="00305BA0"/>
    <w:rsid w:val="00310182"/>
    <w:rsid w:val="0031070A"/>
    <w:rsid w:val="00311C30"/>
    <w:rsid w:val="00323BC9"/>
    <w:rsid w:val="0033149B"/>
    <w:rsid w:val="003354ED"/>
    <w:rsid w:val="00340875"/>
    <w:rsid w:val="00340D2D"/>
    <w:rsid w:val="003418DB"/>
    <w:rsid w:val="003441D8"/>
    <w:rsid w:val="003549F1"/>
    <w:rsid w:val="00356F15"/>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1565"/>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2DE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73646"/>
    <w:rsid w:val="005866DE"/>
    <w:rsid w:val="00591342"/>
    <w:rsid w:val="00593514"/>
    <w:rsid w:val="0059438C"/>
    <w:rsid w:val="005A51FA"/>
    <w:rsid w:val="005A6F72"/>
    <w:rsid w:val="005B09C7"/>
    <w:rsid w:val="005C0B7B"/>
    <w:rsid w:val="005C2C9E"/>
    <w:rsid w:val="005C787F"/>
    <w:rsid w:val="005D73EC"/>
    <w:rsid w:val="005D7437"/>
    <w:rsid w:val="005E1AAA"/>
    <w:rsid w:val="005E669A"/>
    <w:rsid w:val="005F4D48"/>
    <w:rsid w:val="005F4DBC"/>
    <w:rsid w:val="005F4E19"/>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2D14"/>
    <w:rsid w:val="00684847"/>
    <w:rsid w:val="00687646"/>
    <w:rsid w:val="00691496"/>
    <w:rsid w:val="00691CC4"/>
    <w:rsid w:val="00696A10"/>
    <w:rsid w:val="00696AF2"/>
    <w:rsid w:val="006A5A3B"/>
    <w:rsid w:val="006B4B65"/>
    <w:rsid w:val="006B770D"/>
    <w:rsid w:val="006D06F5"/>
    <w:rsid w:val="006D08D2"/>
    <w:rsid w:val="006D6DD9"/>
    <w:rsid w:val="006E15C9"/>
    <w:rsid w:val="006E23A9"/>
    <w:rsid w:val="006E4807"/>
    <w:rsid w:val="006E5E35"/>
    <w:rsid w:val="006F468F"/>
    <w:rsid w:val="007053D1"/>
    <w:rsid w:val="007057C5"/>
    <w:rsid w:val="00710ECD"/>
    <w:rsid w:val="007130D6"/>
    <w:rsid w:val="0071768B"/>
    <w:rsid w:val="007227FB"/>
    <w:rsid w:val="00724800"/>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1F9B"/>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44403"/>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2244"/>
    <w:rsid w:val="00945006"/>
    <w:rsid w:val="009477AE"/>
    <w:rsid w:val="00950151"/>
    <w:rsid w:val="009502D6"/>
    <w:rsid w:val="00951E13"/>
    <w:rsid w:val="0095645D"/>
    <w:rsid w:val="00957626"/>
    <w:rsid w:val="00960B66"/>
    <w:rsid w:val="009641D8"/>
    <w:rsid w:val="00965204"/>
    <w:rsid w:val="009679D9"/>
    <w:rsid w:val="009707D5"/>
    <w:rsid w:val="009708BC"/>
    <w:rsid w:val="00973A29"/>
    <w:rsid w:val="009752F5"/>
    <w:rsid w:val="00996534"/>
    <w:rsid w:val="00997782"/>
    <w:rsid w:val="009A02AD"/>
    <w:rsid w:val="009A4D48"/>
    <w:rsid w:val="009B19DF"/>
    <w:rsid w:val="009C01A5"/>
    <w:rsid w:val="009C416C"/>
    <w:rsid w:val="009C489E"/>
    <w:rsid w:val="009D141F"/>
    <w:rsid w:val="009D3F1F"/>
    <w:rsid w:val="009D444E"/>
    <w:rsid w:val="009D5609"/>
    <w:rsid w:val="009D6CAB"/>
    <w:rsid w:val="009D7444"/>
    <w:rsid w:val="009E1B07"/>
    <w:rsid w:val="00A03006"/>
    <w:rsid w:val="00A1049F"/>
    <w:rsid w:val="00A1078F"/>
    <w:rsid w:val="00A15633"/>
    <w:rsid w:val="00A21A8C"/>
    <w:rsid w:val="00A21EA4"/>
    <w:rsid w:val="00A22DB1"/>
    <w:rsid w:val="00A235BC"/>
    <w:rsid w:val="00A24D37"/>
    <w:rsid w:val="00A25756"/>
    <w:rsid w:val="00A27BC8"/>
    <w:rsid w:val="00A31566"/>
    <w:rsid w:val="00A342C8"/>
    <w:rsid w:val="00A370CA"/>
    <w:rsid w:val="00A3745C"/>
    <w:rsid w:val="00A42714"/>
    <w:rsid w:val="00A511C9"/>
    <w:rsid w:val="00A52340"/>
    <w:rsid w:val="00A53A21"/>
    <w:rsid w:val="00A612B0"/>
    <w:rsid w:val="00A61662"/>
    <w:rsid w:val="00A66645"/>
    <w:rsid w:val="00A80242"/>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AF766F"/>
    <w:rsid w:val="00B0072E"/>
    <w:rsid w:val="00B041A0"/>
    <w:rsid w:val="00B06D18"/>
    <w:rsid w:val="00B13A79"/>
    <w:rsid w:val="00B14275"/>
    <w:rsid w:val="00B24289"/>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423B"/>
    <w:rsid w:val="00C82BC1"/>
    <w:rsid w:val="00C82D71"/>
    <w:rsid w:val="00C84A2F"/>
    <w:rsid w:val="00CA6E9B"/>
    <w:rsid w:val="00CB0206"/>
    <w:rsid w:val="00CB1D87"/>
    <w:rsid w:val="00CB2D7E"/>
    <w:rsid w:val="00CB3406"/>
    <w:rsid w:val="00CB3E84"/>
    <w:rsid w:val="00CB68E9"/>
    <w:rsid w:val="00CB7234"/>
    <w:rsid w:val="00CC0900"/>
    <w:rsid w:val="00CC0E15"/>
    <w:rsid w:val="00CC4D10"/>
    <w:rsid w:val="00CD621E"/>
    <w:rsid w:val="00CE4D96"/>
    <w:rsid w:val="00CF0A8D"/>
    <w:rsid w:val="00CF252F"/>
    <w:rsid w:val="00CF42AB"/>
    <w:rsid w:val="00CF5AC9"/>
    <w:rsid w:val="00CF5F89"/>
    <w:rsid w:val="00CF6208"/>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9768C"/>
    <w:rsid w:val="00DA126C"/>
    <w:rsid w:val="00DA4E63"/>
    <w:rsid w:val="00DB26F4"/>
    <w:rsid w:val="00DB3170"/>
    <w:rsid w:val="00DB3E1E"/>
    <w:rsid w:val="00DB4C49"/>
    <w:rsid w:val="00DB7104"/>
    <w:rsid w:val="00DB7F81"/>
    <w:rsid w:val="00DC0288"/>
    <w:rsid w:val="00DC2339"/>
    <w:rsid w:val="00DC434F"/>
    <w:rsid w:val="00DC57B4"/>
    <w:rsid w:val="00DD08FE"/>
    <w:rsid w:val="00DD17E9"/>
    <w:rsid w:val="00DD4805"/>
    <w:rsid w:val="00DE47AD"/>
    <w:rsid w:val="00DE7021"/>
    <w:rsid w:val="00DE75CB"/>
    <w:rsid w:val="00DF5CA7"/>
    <w:rsid w:val="00DF6CE5"/>
    <w:rsid w:val="00E11650"/>
    <w:rsid w:val="00E157C3"/>
    <w:rsid w:val="00E208E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06B0"/>
    <w:rsid w:val="00F42B76"/>
    <w:rsid w:val="00F431AF"/>
    <w:rsid w:val="00F4356A"/>
    <w:rsid w:val="00F47312"/>
    <w:rsid w:val="00F502A7"/>
    <w:rsid w:val="00F52487"/>
    <w:rsid w:val="00F52882"/>
    <w:rsid w:val="00F53B3C"/>
    <w:rsid w:val="00F545FE"/>
    <w:rsid w:val="00F60958"/>
    <w:rsid w:val="00F6205F"/>
    <w:rsid w:val="00F6673D"/>
    <w:rsid w:val="00F72218"/>
    <w:rsid w:val="00F82512"/>
    <w:rsid w:val="00F82B1F"/>
    <w:rsid w:val="00F84724"/>
    <w:rsid w:val="00F853EC"/>
    <w:rsid w:val="00FA125E"/>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1918</Value>
      <Value>1539</Value>
    </TaxCatchAll>
    <Privacy xmlns="2fb8a92a-9032-49d6-b983-191f0a73b01f">Public</Privacy>
    <Event_x0020_ID xmlns="4bd63098-0c83-43cf-abdd-085f2cc55a51" xsi:nil="true"/>
    <Committee xmlns="2fb8a92a-9032-49d6-b983-191f0a73b01f"/>
    <WECC_x0020_Status xmlns="2fb8a92a-9032-49d6-b983-191f0a73b01f">Approved/Final</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Info xmlns="http://schemas.microsoft.com/office/infopath/2007/PartnerControls">
          <TermName xmlns="http://schemas.microsoft.com/office/infopath/2007/PartnerControls">NERC Filings</TermName>
          <TermId xmlns="http://schemas.microsoft.com/office/infopath/2007/PartnerControls">38da0236-f1a7-4cb0-b512-0acfdf6fb813</TermId>
        </TermInfo>
      </Terms>
    </TaxKeywordTaxHTField>
    <Approver xmlns="4bd63098-0c83-43cf-abdd-085f2cc55a51">
      <UserInfo>
        <DisplayName>Black, Shannon</DisplayName>
        <AccountId>69</AccountId>
        <AccountType/>
      </UserInfo>
    </Approver>
    <_dlc_DocId xmlns="4bd63098-0c83-43cf-abdd-085f2cc55a51">YWEQ7USXTMD7-3-11358</_dlc_DocId>
    <_dlc_DocIdUrl xmlns="4bd63098-0c83-43cf-abdd-085f2cc55a51">
      <Url>https://www.wecc.org/_layouts/15/DocIdRedir.aspx?ID=YWEQ7USXTMD7-3-11358</Url>
      <Description>YWEQ7USXTMD7-3-11358</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07063E-8892-4F20-B640-2C88EEB2A9F1}">
  <ds:schemaRefs>
    <ds:schemaRef ds:uri="http://schemas.microsoft.com/office/infopath/2007/PartnerControls"/>
    <ds:schemaRef ds:uri="8bbd1f37-710a-4084-bea8-b07f68385911"/>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dbfb59a1-9fe3-497a-a908-39807ea3af53"/>
    <ds:schemaRef ds:uri="http://www.w3.org/XML/1998/namespace"/>
  </ds:schemaRefs>
</ds:datastoreItem>
</file>

<file path=customXml/itemProps2.xml><?xml version="1.0" encoding="utf-8"?>
<ds:datastoreItem xmlns:ds="http://schemas.openxmlformats.org/officeDocument/2006/customXml" ds:itemID="{85B0D41C-6745-46A4-873D-5115C263C8BE}"/>
</file>

<file path=customXml/itemProps3.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4.xml><?xml version="1.0" encoding="utf-8"?>
<ds:datastoreItem xmlns:ds="http://schemas.openxmlformats.org/officeDocument/2006/customXml" ds:itemID="{DF95AE2E-02C3-4D80-ADA5-582EA5CE29EA}">
  <ds:schemaRefs>
    <ds:schemaRef ds:uri="http://schemas.openxmlformats.org/officeDocument/2006/bibliography"/>
  </ds:schemaRefs>
</ds:datastoreItem>
</file>

<file path=customXml/itemProps5.xml><?xml version="1.0" encoding="utf-8"?>
<ds:datastoreItem xmlns:ds="http://schemas.openxmlformats.org/officeDocument/2006/customXml" ds:itemID="{9B6AC725-B842-4206-9130-EDA41A711614}"/>
</file>

<file path=docProps/app.xml><?xml version="1.0" encoding="utf-8"?>
<Properties xmlns="http://schemas.openxmlformats.org/officeDocument/2006/extended-properties" xmlns:vt="http://schemas.openxmlformats.org/officeDocument/2006/docPropsVTypes">
  <Template>Guidance Document </Template>
  <TotalTime>1</TotalTime>
  <Pages>27</Pages>
  <Words>7493</Words>
  <Characters>42714</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Update 2020 - Clean</dc:title>
  <dc:subject/>
  <dc:creator>Carter, Natalie</dc:creator>
  <cp:keywords>WECC-0140; NERC Filings</cp:keywords>
  <dc:description/>
  <cp:lastModifiedBy>Donovan Crane</cp:lastModifiedBy>
  <cp:revision>2</cp:revision>
  <cp:lastPrinted>2020-06-23T21:19:00Z</cp:lastPrinted>
  <dcterms:created xsi:type="dcterms:W3CDTF">2020-11-11T19:35:00Z</dcterms:created>
  <dcterms:modified xsi:type="dcterms:W3CDTF">2020-11-11T19:35:00Z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ab4c4d85-3f3e-44ff-a469-eb56bd4d7a87</vt:lpwstr>
  </property>
  <property fmtid="{D5CDD505-2E9C-101B-9397-08002B2CF9AE}" pid="4" name="TaxKeyword">
    <vt:lpwstr>1918;#WECC-0140|39622bfa-f5d7-4763-90e5-0802574c0368;#1539;#NERC Filings|38da0236-f1a7-4cb0-b512-0acfdf6fb813</vt:lpwstr>
  </property>
</Properties>
</file>